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3" Type="http://schemas.openxmlformats.org/officeDocument/2006/relationships/extended-properties" Target="docProps/app.xml"/>
  <Relationship Id="rId4" Type="http://schemas.openxmlformats.org/officeDocument/2006/relationships/custom-properties" Target="docProps/custom.xml"/>
  <Relationship Id="rId5" Type="http://schemas.openxmlformats.org/package/2006/relationships/metadata/core-properties" Target="docProps/core.xml"/>
</Relationships>

</file>

<file path=word/document.xml><?xml version="1.0" encoding="utf-8"?>
<w:document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taisx="http://lrs.lt/TAIS/DocPartXmlMarks" mc:Ignorable="w14 w15 w16se wp14">
  <w:body>
    <w:p>
      <w:pPr>
        <w:tabs>
          <w:tab w:val="center" w:pos="4819"/>
          <w:tab w:val="right" w:pos="9638"/>
        </w:tabs>
        <w:suppressAutoHyphens/>
        <w:rPr>
          <w:szCs w:val="24"/>
          <w:lang w:val="en-GB" w:eastAsia="ar-SA"/>
        </w:rPr>
      </w:pPr>
    </w:p>
    <w:p>
      <w:pPr>
        <w:widowControl w:val="0"/>
        <w:tabs>
          <w:tab w:val="left" w:pos="0"/>
        </w:tabs>
        <w:suppressAutoHyphens/>
        <w:ind w:firstLine="4536"/>
        <w:rPr>
          <w:color w:val="000000"/>
          <w:szCs w:val="24"/>
          <w:lang w:eastAsia="ar-SA"/>
        </w:rPr>
      </w:pPr>
      <w:r>
        <w:rPr>
          <w:color w:val="000000"/>
          <w:szCs w:val="24"/>
          <w:lang w:eastAsia="ar-SA"/>
        </w:rPr>
        <w:t>PATVIRTINTA</w:t>
      </w:r>
    </w:p>
    <w:p>
      <w:pPr>
        <w:widowControl w:val="0"/>
        <w:tabs>
          <w:tab w:val="left" w:pos="0"/>
        </w:tabs>
        <w:suppressAutoHyphens/>
        <w:ind w:firstLine="4536"/>
        <w:rPr>
          <w:color w:val="000000"/>
          <w:szCs w:val="24"/>
          <w:lang w:eastAsia="ar-SA"/>
        </w:rPr>
      </w:pPr>
      <w:r>
        <w:rPr>
          <w:color w:val="000000"/>
          <w:szCs w:val="24"/>
          <w:lang w:eastAsia="ar-SA"/>
        </w:rPr>
        <w:t>Lietuvos kino centro prie Kultūros ministerijos</w:t>
      </w:r>
    </w:p>
    <w:p>
      <w:pPr>
        <w:widowControl w:val="0"/>
        <w:tabs>
          <w:tab w:val="left" w:pos="0"/>
        </w:tabs>
        <w:suppressAutoHyphens/>
        <w:ind w:firstLine="4536"/>
        <w:rPr>
          <w:color w:val="000000"/>
          <w:szCs w:val="24"/>
          <w:lang w:eastAsia="ar-SA"/>
        </w:rPr>
      </w:pPr>
      <w:r>
        <w:rPr>
          <w:color w:val="000000"/>
          <w:szCs w:val="24"/>
          <w:lang w:eastAsia="ar-SA"/>
        </w:rPr>
        <w:t>direktoriaus 2026 m. spalio 6 d. įsakymu Nr. V-120</w:t>
      </w:r>
    </w:p>
    <w:p>
      <w:pPr>
        <w:widowControl w:val="0"/>
        <w:tabs>
          <w:tab w:val="left" w:pos="0"/>
        </w:tabs>
        <w:suppressAutoHyphens/>
        <w:jc w:val="center"/>
        <w:rPr>
          <w:color w:val="000000"/>
          <w:szCs w:val="24"/>
          <w:lang w:eastAsia="ar-SA"/>
        </w:rPr>
      </w:pPr>
    </w:p>
    <w:p>
      <w:pPr>
        <w:widowControl w:val="0"/>
        <w:tabs>
          <w:tab w:val="left" w:pos="0"/>
        </w:tabs>
        <w:suppressAutoHyphens/>
        <w:jc w:val="center"/>
        <w:rPr>
          <w:b/>
          <w:color w:val="000000"/>
          <w:szCs w:val="24"/>
          <w:lang w:eastAsia="ar-SA"/>
        </w:rPr>
      </w:pPr>
      <w:r>
        <w:rPr>
          <w:b/>
          <w:color w:val="000000"/>
          <w:szCs w:val="24"/>
          <w:lang w:eastAsia="ar-SA"/>
        </w:rPr>
        <w:t>(Kino kultūros sklaidos projekto valstybinio finansavimo sutarties forma)</w:t>
      </w:r>
    </w:p>
    <w:p>
      <w:pPr>
        <w:widowControl w:val="0"/>
        <w:tabs>
          <w:tab w:val="left" w:pos="0"/>
        </w:tabs>
        <w:suppressAutoHyphens/>
        <w:jc w:val="center"/>
        <w:rPr>
          <w:color w:val="000000"/>
          <w:szCs w:val="24"/>
          <w:lang w:eastAsia="ar-SA"/>
        </w:rPr>
      </w:pPr>
    </w:p>
    <w:p>
      <w:pPr>
        <w:widowControl w:val="0"/>
        <w:tabs>
          <w:tab w:val="left" w:pos="0"/>
        </w:tabs>
        <w:suppressAutoHyphens/>
        <w:jc w:val="center"/>
        <w:rPr>
          <w:b/>
          <w:color w:val="000000"/>
          <w:szCs w:val="24"/>
          <w:lang w:eastAsia="ar-SA"/>
        </w:rPr>
      </w:pPr>
      <w:r>
        <w:rPr>
          <w:b/>
          <w:color w:val="000000"/>
          <w:szCs w:val="24"/>
          <w:lang w:eastAsia="ar-SA"/>
        </w:rPr>
        <w:t>KINO KULTŪROS SKLAIDOS PROJEKTO VALSTYBINIO FINANSAVIMO SUTARTIS</w:t>
      </w:r>
    </w:p>
    <w:p>
      <w:pPr>
        <w:widowControl w:val="0"/>
        <w:tabs>
          <w:tab w:val="left" w:pos="0"/>
        </w:tabs>
        <w:suppressAutoHyphens/>
        <w:jc w:val="center"/>
        <w:rPr>
          <w:b/>
          <w:color w:val="000000"/>
          <w:szCs w:val="24"/>
          <w:lang w:eastAsia="ar-SA"/>
        </w:rPr>
      </w:pPr>
    </w:p>
    <w:p>
      <w:pPr>
        <w:widowControl w:val="0"/>
        <w:tabs>
          <w:tab w:val="left" w:pos="0"/>
        </w:tabs>
        <w:suppressAutoHyphens/>
        <w:jc w:val="center"/>
        <w:rPr>
          <w:color w:val="000000"/>
          <w:kern w:val="24"/>
          <w:szCs w:val="24"/>
          <w:lang w:eastAsia="ar-SA"/>
        </w:rPr>
      </w:pPr>
      <w:r>
        <w:rPr>
          <w:color w:val="000000"/>
          <w:kern w:val="24"/>
          <w:szCs w:val="24"/>
          <w:lang w:eastAsia="ar-SA"/>
        </w:rPr>
        <w:t>____ m. ____________</w:t>
      </w:r>
      <w:r>
        <w:rPr>
          <w:b/>
          <w:color w:val="000000"/>
          <w:kern w:val="24"/>
          <w:szCs w:val="24"/>
          <w:lang w:eastAsia="ar-SA"/>
        </w:rPr>
        <w:t xml:space="preserve"> </w:t>
      </w:r>
      <w:r>
        <w:rPr>
          <w:color w:val="000000"/>
          <w:kern w:val="24"/>
          <w:szCs w:val="24"/>
          <w:lang w:eastAsia="ar-SA"/>
        </w:rPr>
        <w:t>d. Nr. _______</w:t>
      </w:r>
    </w:p>
    <w:p>
      <w:pPr>
        <w:widowControl w:val="0"/>
        <w:tabs>
          <w:tab w:val="left" w:pos="0"/>
        </w:tabs>
        <w:suppressAutoHyphens/>
        <w:jc w:val="center"/>
        <w:rPr>
          <w:color w:val="000000"/>
          <w:szCs w:val="24"/>
          <w:lang w:eastAsia="ar-SA"/>
        </w:rPr>
      </w:pPr>
      <w:r>
        <w:rPr>
          <w:color w:val="000000"/>
          <w:szCs w:val="24"/>
          <w:lang w:eastAsia="ar-SA"/>
        </w:rPr>
        <w:t>(Vilnius)</w:t>
      </w:r>
    </w:p>
    <w:p>
      <w:pPr>
        <w:widowControl w:val="0"/>
        <w:tabs>
          <w:tab w:val="left" w:pos="0"/>
        </w:tabs>
        <w:suppressAutoHyphens/>
        <w:jc w:val="both"/>
        <w:rPr>
          <w:color w:val="000000"/>
          <w:szCs w:val="24"/>
          <w:lang w:eastAsia="ar-SA"/>
        </w:rPr>
      </w:pPr>
    </w:p>
    <w:p>
      <w:pPr>
        <w:widowControl w:val="0"/>
        <w:tabs>
          <w:tab w:val="left" w:pos="0"/>
        </w:tabs>
        <w:suppressAutoHyphens/>
        <w:jc w:val="both"/>
        <w:rPr>
          <w:color w:val="000000"/>
          <w:szCs w:val="24"/>
          <w:lang w:eastAsia="ar-SA"/>
        </w:rPr>
      </w:pPr>
      <w:r>
        <w:rPr>
          <w:color w:val="000000"/>
          <w:szCs w:val="24"/>
          <w:lang w:eastAsia="ar-SA"/>
        </w:rPr>
        <w:t>Lietuvos kino centras prie Kultūros ministerijos (toliau – LKC), atstovaujamas _______________________________________________________________,</w:t>
      </w:r>
    </w:p>
    <w:p>
      <w:pPr>
        <w:widowControl w:val="0"/>
        <w:tabs>
          <w:tab w:val="left" w:pos="0"/>
        </w:tabs>
        <w:suppressAutoHyphens/>
        <w:jc w:val="both"/>
        <w:rPr>
          <w:color w:val="000000"/>
          <w:szCs w:val="24"/>
          <w:lang w:eastAsia="ar-SA"/>
        </w:rPr>
      </w:pPr>
    </w:p>
    <w:p>
      <w:pPr>
        <w:widowControl w:val="0"/>
        <w:tabs>
          <w:tab w:val="left" w:leader="underscore" w:pos="8647"/>
        </w:tabs>
        <w:suppressAutoHyphens/>
        <w:jc w:val="both"/>
        <w:rPr>
          <w:color w:val="000000"/>
          <w:szCs w:val="24"/>
          <w:u w:val="single"/>
          <w:lang w:eastAsia="ar-SA"/>
        </w:rPr>
      </w:pPr>
      <w:r>
        <w:rPr>
          <w:color w:val="000000"/>
          <w:szCs w:val="24"/>
          <w:lang w:eastAsia="ar-SA"/>
        </w:rPr>
        <w:t xml:space="preserve">ir </w:t>
        <w:tab/>
      </w:r>
    </w:p>
    <w:p>
      <w:pPr>
        <w:widowControl w:val="0"/>
        <w:tabs>
          <w:tab w:val="left" w:pos="0"/>
        </w:tabs>
        <w:suppressAutoHyphens/>
        <w:jc w:val="center"/>
        <w:rPr>
          <w:i/>
          <w:color w:val="000000"/>
          <w:sz w:val="20"/>
          <w:szCs w:val="24"/>
          <w:lang w:eastAsia="ar-SA"/>
        </w:rPr>
      </w:pPr>
      <w:r>
        <w:rPr>
          <w:i/>
          <w:color w:val="000000"/>
          <w:sz w:val="20"/>
          <w:szCs w:val="24"/>
          <w:lang w:eastAsia="ar-SA"/>
        </w:rPr>
        <w:t>(projekto vykdytojo pavadinimas arba vardas ir pavardė)</w:t>
      </w:r>
    </w:p>
    <w:p>
      <w:pPr>
        <w:widowControl w:val="0"/>
        <w:tabs>
          <w:tab w:val="left" w:leader="underscore" w:pos="8647"/>
        </w:tabs>
        <w:suppressAutoHyphens/>
        <w:jc w:val="both"/>
        <w:rPr>
          <w:color w:val="000000"/>
          <w:szCs w:val="24"/>
          <w:lang w:eastAsia="ar-SA"/>
        </w:rPr>
      </w:pPr>
      <w:r>
        <w:rPr>
          <w:color w:val="000000"/>
          <w:szCs w:val="24"/>
          <w:lang w:eastAsia="ar-SA"/>
        </w:rPr>
        <w:t>(toliau – Vykdytojas), atstovaujama (-as)</w:t>
      </w:r>
      <w:r>
        <w:rPr>
          <w:color w:val="000000"/>
          <w:szCs w:val="24"/>
          <w:vertAlign w:val="superscript"/>
          <w:lang w:eastAsia="ar-SA"/>
        </w:rPr>
        <w:t xml:space="preserve"> </w:t>
        <w:footnoteReference w:id="2"/>
      </w:r>
      <w:r>
        <w:rPr>
          <w:color w:val="000000"/>
          <w:szCs w:val="24"/>
          <w:lang w:eastAsia="ar-SA"/>
        </w:rPr>
        <w:t xml:space="preserve"> </w:t>
        <w:tab/>
      </w:r>
    </w:p>
    <w:p>
      <w:pPr>
        <w:widowControl w:val="0"/>
        <w:tabs>
          <w:tab w:val="left" w:pos="0"/>
        </w:tabs>
        <w:suppressAutoHyphens/>
        <w:jc w:val="both"/>
        <w:rPr>
          <w:color w:val="000000"/>
          <w:szCs w:val="24"/>
          <w:lang w:eastAsia="ar-SA"/>
        </w:rPr>
      </w:pPr>
    </w:p>
    <w:p>
      <w:pPr>
        <w:widowControl w:val="0"/>
        <w:tabs>
          <w:tab w:val="left" w:pos="0"/>
        </w:tabs>
        <w:suppressAutoHyphens/>
        <w:jc w:val="both"/>
        <w:rPr>
          <w:color w:val="000000"/>
          <w:szCs w:val="24"/>
          <w:lang w:eastAsia="ar-SA"/>
        </w:rPr>
      </w:pPr>
      <w:r>
        <w:rPr>
          <w:color w:val="000000"/>
          <w:szCs w:val="24"/>
          <w:lang w:eastAsia="ar-SA"/>
        </w:rPr>
        <w:t xml:space="preserve">(toliau kartu ar atskirai – šalys arba šalis), vadovaudamosi Kino kultūros sklaidos projektų valstybinio finansavimo taisyklėmis, patvirtintomis Lietuvos Respublikos kultūros ministro 2018 m. lapkričio 16 d. įsakymu Nr. ĮV-812 „Dėl kino kultūros sklaidos projektų valstybinio finansavimo taisyklių patvirtinimo“ (toliau - Taisyklės), sudarė šią sutartį, kuria susitarė dėl </w:t>
      </w:r>
    </w:p>
    <w:p>
      <w:pPr>
        <w:widowControl w:val="0"/>
        <w:tabs>
          <w:tab w:val="left" w:pos="0"/>
        </w:tabs>
        <w:suppressAutoHyphens/>
        <w:jc w:val="both"/>
        <w:rPr>
          <w:color w:val="000000"/>
          <w:szCs w:val="24"/>
          <w:lang w:eastAsia="ar-SA"/>
        </w:rPr>
      </w:pPr>
    </w:p>
    <w:p>
      <w:pPr>
        <w:widowControl w:val="0"/>
        <w:tabs>
          <w:tab w:val="left" w:pos="0"/>
        </w:tabs>
        <w:suppressAutoHyphens/>
        <w:jc w:val="both"/>
        <w:rPr>
          <w:color w:val="000000"/>
          <w:szCs w:val="24"/>
          <w:lang w:eastAsia="ar-SA"/>
        </w:rPr>
      </w:pPr>
      <w:r>
        <w:rPr>
          <w:color w:val="000000"/>
          <w:szCs w:val="24"/>
          <w:lang w:eastAsia="ar-SA"/>
        </w:rPr>
        <w:t xml:space="preserve">_________________________________________________________________projekto </w:t>
      </w:r>
    </w:p>
    <w:p>
      <w:pPr>
        <w:widowControl w:val="0"/>
        <w:tabs>
          <w:tab w:val="left" w:pos="0"/>
        </w:tabs>
        <w:suppressAutoHyphens/>
        <w:jc w:val="center"/>
        <w:rPr>
          <w:i/>
          <w:color w:val="000000"/>
          <w:szCs w:val="24"/>
          <w:vertAlign w:val="superscript"/>
          <w:lang w:eastAsia="ar-SA"/>
        </w:rPr>
      </w:pPr>
      <w:r>
        <w:rPr>
          <w:i/>
          <w:color w:val="000000"/>
          <w:szCs w:val="24"/>
          <w:vertAlign w:val="superscript"/>
          <w:lang w:eastAsia="ar-SA"/>
        </w:rPr>
        <w:t>(Projekto pavadinimas)</w:t>
      </w:r>
    </w:p>
    <w:p>
      <w:pPr>
        <w:widowControl w:val="0"/>
        <w:tabs>
          <w:tab w:val="left" w:pos="0"/>
        </w:tabs>
        <w:suppressAutoHyphens/>
        <w:jc w:val="both"/>
        <w:rPr>
          <w:color w:val="000000"/>
          <w:szCs w:val="24"/>
          <w:lang w:eastAsia="ar-SA"/>
        </w:rPr>
      </w:pPr>
      <w:r>
        <w:rPr>
          <w:color w:val="000000"/>
          <w:szCs w:val="24"/>
          <w:lang w:eastAsia="ar-SA"/>
        </w:rPr>
        <w:t>(toliau - Projektas) vykdymo valstybinio finansavimo (toliau - Sutartis):</w:t>
      </w:r>
    </w:p>
    <w:p>
      <w:pPr>
        <w:widowControl w:val="0"/>
        <w:tabs>
          <w:tab w:val="left" w:pos="0"/>
        </w:tabs>
        <w:suppressAutoHyphens/>
        <w:jc w:val="both"/>
        <w:rPr>
          <w:color w:val="000000"/>
          <w:szCs w:val="24"/>
          <w:lang w:eastAsia="ar-SA"/>
        </w:rPr>
      </w:pPr>
    </w:p>
    <w:p>
      <w:pPr>
        <w:widowControl w:val="0"/>
        <w:tabs>
          <w:tab w:val="left" w:pos="0"/>
        </w:tabs>
        <w:suppressAutoHyphens/>
        <w:jc w:val="both"/>
        <w:rPr>
          <w:color w:val="000000"/>
          <w:szCs w:val="24"/>
          <w:lang w:eastAsia="ar-SA"/>
        </w:rPr>
      </w:pPr>
    </w:p>
    <w:p>
      <w:pPr>
        <w:widowControl w:val="0"/>
        <w:tabs>
          <w:tab w:val="left" w:pos="0"/>
        </w:tabs>
        <w:suppressAutoHyphens/>
        <w:jc w:val="center"/>
        <w:rPr>
          <w:b/>
          <w:color w:val="000000"/>
          <w:szCs w:val="24"/>
          <w:lang w:eastAsia="ar-SA"/>
        </w:rPr>
      </w:pPr>
      <w:r>
        <w:rPr>
          <w:b/>
          <w:color w:val="000000"/>
          <w:szCs w:val="24"/>
          <w:lang w:eastAsia="ar-SA"/>
        </w:rPr>
        <w:t>I dalis. Sutarties dalykas</w:t>
      </w:r>
    </w:p>
    <w:p>
      <w:pPr>
        <w:widowControl w:val="0"/>
        <w:tabs>
          <w:tab w:val="left" w:pos="0"/>
        </w:tabs>
        <w:suppressAutoHyphens/>
        <w:jc w:val="both"/>
        <w:rPr>
          <w:b/>
          <w:color w:val="000000"/>
          <w:szCs w:val="24"/>
          <w:lang w:eastAsia="ar-SA"/>
        </w:rPr>
      </w:pPr>
    </w:p>
    <w:p>
      <w:pPr>
        <w:widowControl w:val="0"/>
        <w:tabs>
          <w:tab w:val="left" w:pos="567"/>
        </w:tabs>
        <w:suppressAutoHyphens/>
        <w:jc w:val="both"/>
        <w:rPr>
          <w:color w:val="000000"/>
          <w:szCs w:val="24"/>
          <w:lang w:eastAsia="ar-SA"/>
        </w:rPr>
      </w:pPr>
      <w:r>
        <w:rPr>
          <w:color w:val="000000"/>
          <w:szCs w:val="24"/>
          <w:lang w:eastAsia="ar-SA"/>
        </w:rPr>
        <w:t>1</w:t>
      </w:r>
      <w:r>
        <w:rPr>
          <w:color w:val="000000"/>
          <w:szCs w:val="24"/>
          <w:lang w:eastAsia="ar-SA"/>
        </w:rPr>
        <w:t>.</w:t>
        <w:tab/>
        <w:t>Šios Sutarties dalykas yra šio kino kultūros sklaidos Projekto vykdymo dalinis valstybinis finansavimas:</w:t>
      </w:r>
    </w:p>
    <w:p>
      <w:pPr>
        <w:widowControl w:val="0"/>
        <w:tabs>
          <w:tab w:val="left" w:pos="567"/>
        </w:tabs>
        <w:suppressAutoHyphens/>
        <w:jc w:val="both"/>
        <w:rPr>
          <w:color w:val="000000"/>
          <w:szCs w:val="24"/>
          <w:lang w:eastAsia="ar-SA"/>
        </w:rPr>
      </w:pPr>
      <w:r>
        <w:rPr>
          <w:color w:val="000000"/>
          <w:szCs w:val="24"/>
          <w:lang w:eastAsia="ar-SA"/>
        </w:rPr>
        <w:t>1.1</w:t>
      </w:r>
      <w:r>
        <w:rPr>
          <w:color w:val="000000"/>
          <w:szCs w:val="24"/>
          <w:lang w:eastAsia="ar-SA"/>
        </w:rPr>
        <w:t>.</w:t>
        <w:tab/>
        <w:t>Bendras projekto biudžetas: _____________________________EUR;</w:t>
      </w:r>
    </w:p>
    <w:p>
      <w:pPr>
        <w:widowControl w:val="0"/>
        <w:tabs>
          <w:tab w:val="left" w:pos="567"/>
        </w:tabs>
        <w:suppressAutoHyphens/>
        <w:jc w:val="both"/>
        <w:rPr>
          <w:color w:val="000000"/>
          <w:szCs w:val="24"/>
          <w:lang w:eastAsia="ar-SA"/>
        </w:rPr>
      </w:pPr>
      <w:r>
        <w:rPr>
          <w:color w:val="000000"/>
          <w:szCs w:val="24"/>
          <w:lang w:eastAsia="ar-SA"/>
        </w:rPr>
        <w:t>1.2</w:t>
      </w:r>
      <w:r>
        <w:rPr>
          <w:color w:val="000000"/>
          <w:szCs w:val="24"/>
          <w:lang w:eastAsia="ar-SA"/>
        </w:rPr>
        <w:t>.</w:t>
        <w:tab/>
        <w:t xml:space="preserve">Projekto vykdymo pradžia:  ______m._______________mėn._____d.;</w:t>
      </w:r>
    </w:p>
    <w:p>
      <w:pPr>
        <w:widowControl w:val="0"/>
        <w:tabs>
          <w:tab w:val="left" w:pos="567"/>
        </w:tabs>
        <w:suppressAutoHyphens/>
        <w:jc w:val="both"/>
        <w:rPr>
          <w:color w:val="000000"/>
          <w:szCs w:val="24"/>
          <w:lang w:eastAsia="ar-SA"/>
        </w:rPr>
      </w:pPr>
      <w:r>
        <w:rPr>
          <w:color w:val="000000"/>
          <w:szCs w:val="24"/>
          <w:lang w:eastAsia="ar-SA"/>
        </w:rPr>
        <w:t>1.3</w:t>
      </w:r>
      <w:r>
        <w:rPr>
          <w:color w:val="000000"/>
          <w:szCs w:val="24"/>
          <w:lang w:eastAsia="ar-SA"/>
        </w:rPr>
        <w:t>.</w:t>
        <w:tab/>
        <w:t>Projekto vykdymo pabaiga: ______m._______________mėn._____d.;</w:t>
      </w:r>
    </w:p>
    <w:p>
      <w:pPr>
        <w:widowControl w:val="0"/>
        <w:tabs>
          <w:tab w:val="left" w:pos="567"/>
        </w:tabs>
        <w:suppressAutoHyphens/>
        <w:jc w:val="both"/>
        <w:rPr>
          <w:color w:val="000000"/>
          <w:szCs w:val="24"/>
          <w:lang w:eastAsia="ar-SA"/>
        </w:rPr>
      </w:pPr>
      <w:r>
        <w:rPr>
          <w:color w:val="000000"/>
          <w:szCs w:val="24"/>
          <w:lang w:eastAsia="ar-SA"/>
        </w:rPr>
        <w:t>1.4</w:t>
      </w:r>
      <w:r>
        <w:rPr>
          <w:color w:val="000000"/>
          <w:szCs w:val="24"/>
          <w:lang w:eastAsia="ar-SA"/>
        </w:rPr>
        <w:t>.</w:t>
        <w:tab/>
        <w:t xml:space="preserve">LKC direktoriaus _______ m. ____________mėn.____d. įsakymo _____ Nr. _____ punktu skirta suma  _____EUR (________ eurų);</w:t>
      </w:r>
    </w:p>
    <w:p>
      <w:pPr>
        <w:widowControl w:val="0"/>
        <w:tabs>
          <w:tab w:val="left" w:pos="567"/>
        </w:tabs>
        <w:suppressAutoHyphens/>
        <w:jc w:val="both"/>
        <w:rPr>
          <w:color w:val="000000"/>
          <w:szCs w:val="24"/>
          <w:lang w:eastAsia="ar-SA"/>
        </w:rPr>
      </w:pPr>
      <w:r>
        <w:rPr>
          <w:color w:val="000000"/>
          <w:szCs w:val="24"/>
          <w:lang w:eastAsia="ar-SA"/>
        </w:rPr>
        <w:t>1.5</w:t>
      </w:r>
      <w:r>
        <w:rPr>
          <w:color w:val="000000"/>
          <w:szCs w:val="24"/>
          <w:lang w:eastAsia="ar-SA"/>
        </w:rPr>
        <w:t>.</w:t>
        <w:tab/>
        <w:t>Taisyklėse nustatytas Projekto finansavimo intensyvumas: iki 80 proc. Projekto tinkamų finansuoti išlaidų bendros sumos.</w:t>
      </w:r>
    </w:p>
    <w:p>
      <w:pPr>
        <w:widowControl w:val="0"/>
        <w:suppressAutoHyphens/>
        <w:jc w:val="center"/>
        <w:rPr>
          <w:color w:val="000000"/>
          <w:szCs w:val="24"/>
          <w:lang w:eastAsia="ar-SA"/>
        </w:rPr>
      </w:pPr>
      <w:r>
        <w:rPr>
          <w:b/>
          <w:color w:val="000000"/>
          <w:szCs w:val="24"/>
          <w:lang w:eastAsia="ar-SA"/>
        </w:rPr>
        <w:t>II dalis. Šalių įsipareigojimai</w:t>
      </w:r>
    </w:p>
    <w:p>
      <w:pPr>
        <w:widowControl w:val="0"/>
        <w:suppressAutoHyphens/>
        <w:jc w:val="both"/>
        <w:rPr>
          <w:color w:val="000000"/>
          <w:szCs w:val="24"/>
          <w:lang w:eastAsia="ar-SA"/>
        </w:rPr>
      </w:pPr>
    </w:p>
    <w:p>
      <w:pPr>
        <w:widowControl w:val="0"/>
        <w:tabs>
          <w:tab w:val="left" w:pos="567"/>
        </w:tabs>
        <w:suppressAutoHyphens/>
        <w:jc w:val="both"/>
        <w:rPr>
          <w:color w:val="000000"/>
          <w:szCs w:val="24"/>
          <w:lang w:eastAsia="ar-SA"/>
        </w:rPr>
      </w:pPr>
      <w:r>
        <w:rPr>
          <w:color w:val="000000"/>
          <w:szCs w:val="24"/>
          <w:lang w:eastAsia="ar-SA"/>
        </w:rPr>
        <w:t>2.1</w:t>
      </w:r>
      <w:r>
        <w:rPr>
          <w:color w:val="000000"/>
          <w:szCs w:val="24"/>
          <w:lang w:eastAsia="ar-SA"/>
        </w:rPr>
        <w:t xml:space="preserve">. LKC įsipareigoja iš dalies finansuoti Projekto vykdymą ir skirti šiam tikslui, atsižvelgiant į Vykdytojo pateiktą ir Lietuvos kino centro patvirtintą sąmatą, kuri pridedama prie šios Sutarties kaip Priedas Nr. 1 ir yra neatskiriama šios Sutarties dalis, sumą, nurodytą Sutarties 1.4 punkte. </w:t>
      </w:r>
    </w:p>
    <w:p>
      <w:pPr>
        <w:widowControl w:val="0"/>
        <w:tabs>
          <w:tab w:val="left" w:pos="567"/>
        </w:tabs>
        <w:suppressAutoHyphens/>
        <w:jc w:val="both"/>
        <w:rPr>
          <w:color w:val="000000"/>
          <w:szCs w:val="24"/>
          <w:lang w:eastAsia="ar-SA"/>
        </w:rPr>
      </w:pPr>
      <w:r>
        <w:rPr>
          <w:color w:val="000000"/>
          <w:szCs w:val="24"/>
          <w:lang w:eastAsia="ar-SA"/>
        </w:rPr>
        <w:t>2.2</w:t>
      </w:r>
      <w:r>
        <w:rPr>
          <w:color w:val="000000"/>
          <w:szCs w:val="24"/>
          <w:lang w:eastAsia="ar-SA"/>
        </w:rPr>
        <w:t xml:space="preserve">. LKC ne vėliau kaip per 30 kalendorinių dienų nuo Sutarties pasirašymo dienos perveda visas Sutarties 1.4 punkte nurodytas lėšas Vykdytojui į atskirą Projektui skirtą sąskaitą banke __________                                            Nr. LT _________________________________, banko kodas ______.Vykdytojas privalo turėti atskirą mokėjimo sąskaitą LKC finansuotiems projektams, kurią naudojant turi būti užtikrinamas atskirų projektų finansinių operacijų identifikavimas pagal konkretų projektą ir patvirtintą  projekto išlaidų sąmatą. </w:t>
      </w:r>
    </w:p>
    <w:p>
      <w:pPr>
        <w:rPr>
          <w:sz w:val="10"/>
          <w:szCs w:val="10"/>
        </w:rPr>
      </w:pPr>
    </w:p>
    <w:p>
      <w:pPr>
        <w:widowControl w:val="0"/>
        <w:tabs>
          <w:tab w:val="left" w:pos="567"/>
        </w:tabs>
        <w:suppressAutoHyphens/>
        <w:jc w:val="both"/>
        <w:rPr>
          <w:color w:val="000000"/>
          <w:szCs w:val="24"/>
          <w:lang w:eastAsia="ar-SA"/>
        </w:rPr>
      </w:pPr>
      <w:r>
        <w:rPr>
          <w:color w:val="000000"/>
          <w:szCs w:val="24"/>
          <w:lang w:eastAsia="ar-SA"/>
        </w:rPr>
        <w:t>2.3</w:t>
      </w:r>
      <w:r>
        <w:rPr>
          <w:color w:val="000000"/>
          <w:szCs w:val="24"/>
          <w:lang w:eastAsia="ar-SA"/>
        </w:rPr>
        <w:t>. Vykdytojas įsipareigoja:</w:t>
      </w:r>
    </w:p>
    <w:p>
      <w:pPr>
        <w:widowControl w:val="0"/>
        <w:tabs>
          <w:tab w:val="left" w:pos="567"/>
        </w:tabs>
        <w:suppressAutoHyphens/>
        <w:jc w:val="both"/>
        <w:rPr>
          <w:color w:val="000000"/>
          <w:szCs w:val="24"/>
          <w:lang w:eastAsia="ar-SA"/>
        </w:rPr>
      </w:pPr>
      <w:r>
        <w:rPr>
          <w:color w:val="000000"/>
          <w:szCs w:val="24"/>
          <w:lang w:eastAsia="ar-SA"/>
        </w:rPr>
        <w:t>2.3.1</w:t>
      </w:r>
      <w:r>
        <w:rPr>
          <w:color w:val="000000"/>
          <w:szCs w:val="24"/>
          <w:lang w:eastAsia="ar-SA"/>
        </w:rPr>
        <w:t>. Projektą įvykdyti iki Sutarties 1.3 punkte nurodytos datos;</w:t>
      </w:r>
    </w:p>
    <w:p>
      <w:pPr>
        <w:widowControl w:val="0"/>
        <w:tabs>
          <w:tab w:val="left" w:pos="567"/>
        </w:tabs>
        <w:suppressAutoHyphens/>
        <w:jc w:val="both"/>
        <w:rPr>
          <w:color w:val="000000"/>
          <w:szCs w:val="24"/>
          <w:lang w:eastAsia="ar-SA"/>
        </w:rPr>
      </w:pPr>
      <w:r>
        <w:rPr>
          <w:color w:val="000000"/>
          <w:szCs w:val="24"/>
          <w:lang w:eastAsia="ar-SA"/>
        </w:rPr>
        <w:t>2.3.2</w:t>
      </w:r>
      <w:r>
        <w:rPr>
          <w:color w:val="000000"/>
          <w:szCs w:val="24"/>
          <w:lang w:eastAsia="ar-SA"/>
        </w:rPr>
        <w:t>. Projekto vykdymo ir Sutarties galiojimo metu neperleisti jokių savo teisių ir įsipareigojimų, kylančių iš Sutarties, tretiesiems asmenims;</w:t>
      </w:r>
    </w:p>
    <w:p>
      <w:pPr>
        <w:rPr>
          <w:sz w:val="10"/>
          <w:szCs w:val="10"/>
        </w:rPr>
      </w:pPr>
    </w:p>
    <w:p>
      <w:pPr>
        <w:widowControl w:val="0"/>
        <w:tabs>
          <w:tab w:val="left" w:pos="567"/>
        </w:tabs>
        <w:suppressAutoHyphens/>
        <w:jc w:val="both"/>
        <w:rPr>
          <w:color w:val="000000"/>
          <w:szCs w:val="24"/>
          <w:lang w:eastAsia="ar-SA"/>
        </w:rPr>
      </w:pPr>
      <w:r>
        <w:rPr>
          <w:color w:val="000000"/>
          <w:szCs w:val="24"/>
          <w:lang w:eastAsia="ar-SA"/>
        </w:rPr>
        <w:t>2.3.3</w:t>
      </w:r>
      <w:r>
        <w:rPr>
          <w:color w:val="000000"/>
          <w:szCs w:val="24"/>
          <w:lang w:eastAsia="ar-SA"/>
        </w:rPr>
        <w:t xml:space="preserve">. ūkines operacijas, susijusias su LKC skirtomis lėšomis, įtraukti į Projekto vykdytojo finansinę apskaitą taip, kad  šias operacijas būtų galima identifikuoti kaip Projekto išlaidas;</w:t>
      </w:r>
    </w:p>
    <w:p>
      <w:pPr>
        <w:widowControl w:val="0"/>
        <w:tabs>
          <w:tab w:val="left" w:pos="567"/>
        </w:tabs>
        <w:suppressAutoHyphens/>
        <w:jc w:val="both"/>
        <w:rPr>
          <w:color w:val="000000"/>
          <w:szCs w:val="24"/>
          <w:lang w:eastAsia="ar-SA"/>
        </w:rPr>
      </w:pPr>
      <w:r>
        <w:rPr>
          <w:color w:val="000000"/>
          <w:szCs w:val="24"/>
          <w:lang w:eastAsia="ar-SA"/>
        </w:rPr>
        <w:t>2.3.4</w:t>
      </w:r>
      <w:r>
        <w:rPr>
          <w:color w:val="000000"/>
          <w:szCs w:val="24"/>
          <w:lang w:eastAsia="ar-SA"/>
        </w:rPr>
        <w:t>. skirtas lėšas naudoti tik pagal sąmatoje nurodytą paskirtį, nekeisti išlaidų rūšies, nekeisti lėšų paskirstymo pagal atskirus sąmatos straipsnius daugiau nei 20 procentų vienam sąmatos straipsniui;</w:t>
      </w:r>
    </w:p>
    <w:p>
      <w:pPr>
        <w:widowControl w:val="0"/>
        <w:tabs>
          <w:tab w:val="left" w:pos="1134"/>
        </w:tabs>
        <w:suppressAutoHyphens/>
        <w:spacing w:line="276" w:lineRule="auto"/>
        <w:jc w:val="both"/>
        <w:rPr>
          <w:rFonts w:eastAsia="MS Mincho"/>
          <w:color w:val="000000"/>
          <w:szCs w:val="24"/>
          <w:lang w:eastAsia="ar-SA"/>
        </w:rPr>
      </w:pPr>
      <w:r>
        <w:rPr>
          <w:color w:val="000000"/>
          <w:szCs w:val="24"/>
          <w:lang w:eastAsia="ar-SA"/>
        </w:rPr>
        <w:t>2.3.5</w:t>
      </w:r>
      <w:r>
        <w:rPr>
          <w:color w:val="000000"/>
          <w:szCs w:val="24"/>
          <w:lang w:eastAsia="ar-SA"/>
        </w:rPr>
        <w:t>. Projekto viešinimo medžiagoje privalo būti nurodoma informacija apie tai, kad projektą finansavo LKC. Tokia informacija nurodoma vadovaujantis LKC direktoriaus patvirtintomis LKC finansuotų projektų ir veiklų viešinimo taisyklėmis, skelbiamomis interneto puslapyje www.lkc.lt</w:t>
      </w:r>
    </w:p>
    <w:p>
      <w:pPr>
        <w:widowControl w:val="0"/>
        <w:tabs>
          <w:tab w:val="left" w:pos="567"/>
        </w:tabs>
        <w:suppressAutoHyphens/>
        <w:jc w:val="both"/>
        <w:rPr>
          <w:color w:val="000000"/>
          <w:szCs w:val="24"/>
          <w:lang w:eastAsia="ar-SA"/>
        </w:rPr>
      </w:pPr>
      <w:r>
        <w:rPr>
          <w:color w:val="000000"/>
          <w:szCs w:val="24"/>
          <w:lang w:eastAsia="ar-SA"/>
        </w:rPr>
        <w:t>2.3.6</w:t>
      </w:r>
      <w:r>
        <w:rPr>
          <w:color w:val="000000"/>
          <w:szCs w:val="24"/>
          <w:lang w:eastAsia="ar-SA"/>
        </w:rPr>
        <w:t>. jeigu Sutartimi finansuojama leidinio leidyba, išleidus leidinį pristatyti 2 leidinio egzempliorius LKC;</w:t>
      </w:r>
    </w:p>
    <w:p>
      <w:pPr>
        <w:widowControl w:val="0"/>
        <w:tabs>
          <w:tab w:val="left" w:pos="567"/>
        </w:tabs>
        <w:suppressAutoHyphens/>
        <w:jc w:val="both"/>
        <w:rPr>
          <w:color w:val="000000"/>
          <w:szCs w:val="24"/>
          <w:lang w:eastAsia="ar-SA"/>
        </w:rPr>
      </w:pPr>
      <w:r>
        <w:rPr>
          <w:color w:val="000000"/>
          <w:szCs w:val="24"/>
          <w:lang w:eastAsia="ar-SA"/>
        </w:rPr>
        <w:t>2.3.7</w:t>
      </w:r>
      <w:r>
        <w:rPr>
          <w:color w:val="000000"/>
          <w:szCs w:val="24"/>
          <w:lang w:eastAsia="ar-SA"/>
        </w:rPr>
        <w:t>.laikytis visų Vykdytojui taikytinų reikalavimų, nustatytų Taisyklėse, Lietuvos Respublikos įstatymuose ir kituose teisės aktuose;</w:t>
      </w:r>
    </w:p>
    <w:p>
      <w:pPr>
        <w:widowControl w:val="0"/>
        <w:tabs>
          <w:tab w:val="left" w:pos="567"/>
        </w:tabs>
        <w:suppressAutoHyphens/>
        <w:jc w:val="both"/>
        <w:rPr>
          <w:color w:val="000000"/>
          <w:szCs w:val="24"/>
          <w:lang w:eastAsia="ar-SA"/>
        </w:rPr>
      </w:pPr>
      <w:r>
        <w:rPr>
          <w:color w:val="000000"/>
          <w:szCs w:val="24"/>
          <w:lang w:eastAsia="ar-SA"/>
        </w:rPr>
        <w:t>2.3.8</w:t>
      </w:r>
      <w:r>
        <w:rPr>
          <w:color w:val="000000"/>
          <w:szCs w:val="24"/>
          <w:lang w:eastAsia="ar-SA"/>
        </w:rPr>
        <w:t xml:space="preserve">. sutarties vykdymo laikotarpiu, atsiradus arba paaiškėjus Lietuvos Respublikos kino įstatymo 9 str. 7 d. nustatytiems apribojimams, Vykdytojas privalo raštu, ne vėliau kaip per 5 darbo dienas nuo aplinkybių paaiškėjimo, informuoti apie tai LKC, kartu nurodant, kokių bus imtasi veiksmų, siekiant pašalinti šias  priežastis;</w:t>
      </w:r>
    </w:p>
    <w:p>
      <w:pPr>
        <w:widowControl w:val="0"/>
        <w:tabs>
          <w:tab w:val="left" w:pos="567"/>
        </w:tabs>
        <w:suppressAutoHyphens/>
        <w:jc w:val="both"/>
        <w:rPr>
          <w:color w:val="000000"/>
          <w:szCs w:val="24"/>
          <w:lang w:eastAsia="ar-SA"/>
        </w:rPr>
      </w:pPr>
      <w:r>
        <w:rPr>
          <w:color w:val="000000"/>
          <w:szCs w:val="24"/>
          <w:lang w:eastAsia="ar-SA"/>
        </w:rPr>
        <w:t>2.3.9</w:t>
      </w:r>
      <w:r>
        <w:rPr>
          <w:color w:val="000000"/>
          <w:szCs w:val="24"/>
          <w:lang w:eastAsia="ar-SA"/>
        </w:rPr>
        <w:t>. užtikrinti, kad, perkant prekes ir paslaugas už valstybės biudžeto lėšas, būtų laikomasi Lietuvos Respublikos viešųjų pirkimų įstatymo nuostatų ir kitų su jo įgyvendinimu susijusių teisės aktų reikalavimų (jeigu Vykdytojas yra perkančioji organizacija);</w:t>
      </w:r>
    </w:p>
    <w:p>
      <w:pPr>
        <w:widowControl w:val="0"/>
        <w:tabs>
          <w:tab w:val="left" w:pos="567"/>
        </w:tabs>
        <w:suppressAutoHyphens/>
        <w:jc w:val="both"/>
        <w:rPr>
          <w:color w:val="000000"/>
          <w:szCs w:val="24"/>
          <w:lang w:eastAsia="ar-SA"/>
        </w:rPr>
      </w:pPr>
      <w:r>
        <w:rPr>
          <w:color w:val="000000"/>
          <w:szCs w:val="24"/>
          <w:lang w:eastAsia="ar-SA"/>
        </w:rPr>
        <w:t>2.3.10</w:t>
      </w:r>
      <w:r>
        <w:rPr>
          <w:color w:val="000000"/>
          <w:szCs w:val="24"/>
          <w:lang w:eastAsia="ar-SA"/>
        </w:rPr>
        <w:t>. užtikrinti orią ir pagarbią darbo aplinką, suteikti visiems Vykdytojui atsakingiems ir (arba) jo samdomiems asmenims lygias teises ir galimybes nepaisant jų lyties, rasės, tautybės, pilietybės, kalbos, kilmės, socialinės padėties, tikėjimo, įsitikinimų ar pažiūrų, amžiaus, lytinės orientacijos, negalios, etninės priklausomybės ar religijos, užtikrinti, kad visi Vykdytojo samdomi asmenys nepatirtų jokio priekabiavimo ir diskriminacijos, laikytis visų Lietuvos Respublikos teisės aktuose nustatytų reikalavimų dėl lygybės ir nediskriminavimo užtikrinimo. Tokia informacija nurodoma vadovaujantis LKC direktoriaus patvirtintomis Lygybės ir nediskriminavimo užtikrinimo Lietuvos kino centro prie Kultūros ministerijos finansuotų projektų ir veiklų vykdytojams rekomendacijomis, skelbiamomis interneto puslapyje www.lkc.lt;</w:t>
      </w:r>
    </w:p>
    <w:p>
      <w:pPr>
        <w:widowControl w:val="0"/>
        <w:tabs>
          <w:tab w:val="left" w:pos="567"/>
        </w:tabs>
        <w:suppressAutoHyphens/>
        <w:jc w:val="both"/>
        <w:rPr>
          <w:szCs w:val="24"/>
          <w:lang w:eastAsia="ar-SA"/>
        </w:rPr>
      </w:pPr>
      <w:r>
        <w:rPr>
          <w:color w:val="000000"/>
          <w:szCs w:val="24"/>
          <w:lang w:eastAsia="ar-SA"/>
        </w:rPr>
        <w:t>2.3.11</w:t>
      </w:r>
      <w:r>
        <w:rPr>
          <w:color w:val="000000"/>
          <w:szCs w:val="24"/>
          <w:lang w:eastAsia="ar-SA"/>
        </w:rPr>
        <w:t>. užtikrinti, kad į sutartis, pasirašomas su Projekto dalyviais, būtų įtraukiamos nuostatos, pagal kurias Projekto vykdytojas gauna Projekto dalyvių sutikimus tvarkyti jų asmens duomenis ir perduoti šiuos asmens duomenis LKC Projekto vykdymo priežiūros ir stebėsenos tikslais;</w:t>
      </w:r>
    </w:p>
    <w:p>
      <w:pPr>
        <w:widowControl w:val="0"/>
        <w:tabs>
          <w:tab w:val="left" w:pos="567"/>
        </w:tabs>
        <w:suppressAutoHyphens/>
        <w:jc w:val="both"/>
        <w:rPr>
          <w:color w:val="000000"/>
          <w:szCs w:val="24"/>
          <w:lang w:eastAsia="ar-SA"/>
        </w:rPr>
      </w:pPr>
      <w:r>
        <w:rPr>
          <w:color w:val="000000"/>
          <w:szCs w:val="24"/>
          <w:lang w:eastAsia="ar-SA"/>
        </w:rPr>
        <w:t>2.3.12</w:t>
      </w:r>
      <w:r>
        <w:rPr>
          <w:color w:val="000000"/>
          <w:szCs w:val="24"/>
          <w:lang w:eastAsia="ar-SA"/>
        </w:rPr>
        <w:t>. prisiimti visišką atsakomybę, jeigu įgyvendinant Projektą yra pažeidžiamos trečiųjų asmenų autorių ir (ar) gretutinės teisės. Jeigu dėl šio pažeidimo įsiteisėjusiame teismo sprendime nurodoma, kad minėtas teises pažeidė Projekto vykdytojas, jis privalo grąžinti LKC visas pagal šią Sutartį gautas lėšas.</w:t>
      </w:r>
    </w:p>
    <w:p>
      <w:pPr>
        <w:widowControl w:val="0"/>
        <w:tabs>
          <w:tab w:val="left" w:pos="567"/>
        </w:tabs>
        <w:suppressAutoHyphens/>
        <w:jc w:val="both"/>
        <w:rPr>
          <w:szCs w:val="24"/>
          <w:lang w:eastAsia="ar-SA"/>
        </w:rPr>
      </w:pPr>
    </w:p>
    <w:p>
      <w:pPr>
        <w:widowControl w:val="0"/>
        <w:suppressAutoHyphens/>
        <w:jc w:val="center"/>
        <w:rPr>
          <w:b/>
          <w:color w:val="000000"/>
          <w:szCs w:val="24"/>
          <w:lang w:eastAsia="ar-SA"/>
        </w:rPr>
      </w:pPr>
      <w:r>
        <w:rPr>
          <w:b/>
          <w:color w:val="000000"/>
          <w:szCs w:val="24"/>
          <w:lang w:eastAsia="ar-SA"/>
        </w:rPr>
        <w:t>III</w:t>
      </w:r>
      <w:r>
        <w:rPr>
          <w:b/>
          <w:color w:val="000000"/>
          <w:szCs w:val="24"/>
          <w:lang w:eastAsia="ar-SA"/>
        </w:rPr>
        <w:t xml:space="preserve">. </w:t>
      </w:r>
      <w:r>
        <w:rPr>
          <w:b/>
          <w:color w:val="000000"/>
          <w:szCs w:val="24"/>
          <w:lang w:eastAsia="ar-SA"/>
        </w:rPr>
        <w:t>Sutarties ir jos priedų sąlygų keitimas, pakeitimų derinimo tvarka ir terminai</w:t>
      </w:r>
    </w:p>
    <w:p>
      <w:pPr>
        <w:widowControl w:val="0"/>
        <w:suppressAutoHyphens/>
        <w:jc w:val="both"/>
        <w:rPr>
          <w:color w:val="000000"/>
          <w:szCs w:val="24"/>
          <w:lang w:eastAsia="ar-SA"/>
        </w:rPr>
      </w:pPr>
    </w:p>
    <w:p>
      <w:pPr>
        <w:widowControl w:val="0"/>
        <w:suppressAutoHyphens/>
        <w:jc w:val="both"/>
        <w:rPr>
          <w:color w:val="000000"/>
          <w:szCs w:val="24"/>
          <w:lang w:eastAsia="ar-SA"/>
        </w:rPr>
      </w:pPr>
      <w:r>
        <w:rPr>
          <w:color w:val="000000"/>
          <w:szCs w:val="24"/>
          <w:lang w:eastAsia="ar-SA"/>
        </w:rPr>
        <w:t>3.1</w:t>
      </w:r>
      <w:r>
        <w:rPr>
          <w:color w:val="000000"/>
          <w:szCs w:val="24"/>
          <w:lang w:eastAsia="ar-SA"/>
        </w:rPr>
        <w:t>. Vykdytojas privalo raštu suderinti su LKC visus Sutarties ir jos priedo sąlygų pakeitimus šioje dalyje nustatyta tvarka ir terminais.</w:t>
      </w:r>
    </w:p>
    <w:p>
      <w:pPr>
        <w:widowControl w:val="0"/>
        <w:suppressAutoHyphens/>
        <w:jc w:val="both"/>
        <w:rPr>
          <w:color w:val="000000"/>
          <w:szCs w:val="24"/>
          <w:lang w:eastAsia="ar-SA"/>
        </w:rPr>
      </w:pPr>
      <w:r>
        <w:rPr>
          <w:color w:val="000000"/>
          <w:szCs w:val="24"/>
          <w:lang w:eastAsia="ar-SA"/>
        </w:rPr>
        <w:t>3.2</w:t>
      </w:r>
      <w:r>
        <w:rPr>
          <w:color w:val="000000"/>
          <w:szCs w:val="24"/>
          <w:lang w:eastAsia="ar-SA"/>
        </w:rPr>
        <w:t>. Dėl Sutarties sąlygų pakeitimo Vykdytojas turi kreiptis į LKC pateikdamas argumentuotą raštišką prašymą. LKC priima sprendimą dėl pateikto prašymo ne vėliau kaip per 5 darbo dienas nuo šio prašymo gavimo dienos.</w:t>
      </w:r>
    </w:p>
    <w:p>
      <w:pPr>
        <w:widowControl w:val="0"/>
        <w:tabs>
          <w:tab w:val="left" w:pos="993"/>
        </w:tabs>
        <w:suppressAutoHyphens/>
        <w:jc w:val="both"/>
        <w:rPr>
          <w:color w:val="000000"/>
          <w:szCs w:val="24"/>
          <w:shd w:val="clear" w:color="auto" w:fill="FFFFFF"/>
          <w:lang w:eastAsia="ar-SA"/>
        </w:rPr>
      </w:pPr>
      <w:r>
        <w:rPr>
          <w:color w:val="000000"/>
          <w:szCs w:val="24"/>
          <w:lang w:eastAsia="ar-SA"/>
        </w:rPr>
        <w:t>3.3</w:t>
      </w:r>
      <w:r>
        <w:rPr>
          <w:color w:val="000000"/>
          <w:szCs w:val="24"/>
          <w:lang w:eastAsia="ar-SA"/>
        </w:rPr>
        <w:t xml:space="preserve">. Jeigu skirtumas tarp LKC skirtų ir planuojamų naudoti sąmatos straipsnio lėšų sąmatos straipsnyje dėl objektyvių priežasčių gali viršyti 20 proc. (išskyrus, kai viršijanti suma yra mažesnė, nei 100 Eurų) arba gali keistis išlaidų rūšis įtraukiant naują arba pašalinant esamą LKC skirtų išlaidų eilutę, Projekto Vykdytojas turi teisę tikslinti sąmatą </w:t>
      </w:r>
      <w:r>
        <w:rPr>
          <w:color w:val="000000"/>
          <w:szCs w:val="24"/>
          <w:shd w:val="clear" w:color="auto" w:fill="FFFFFF"/>
          <w:lang w:eastAsia="ar-SA"/>
        </w:rPr>
        <w:t>likus ne mažiau kaip 15 darbo dienų iki sutartyje nustatyto projekto vykdymo pabaigos termino, bet ne vėliau kaip iki einamųjų biudžetinių metų lapkričio 30 d., pateikdamas oficialiu raštu LKC derinti sąmatos pakeitimo projektą, kuriame paryškintu formatu pažymimi prašomi pakeitimai. Tokie šalių suderinti sąmatos prie sutarties pakeitimai įforminami finansavimo sutarties pakeitimu, kurį pasirašo abi šalys.</w:t>
      </w:r>
    </w:p>
    <w:p>
      <w:pPr>
        <w:rPr>
          <w:sz w:val="20"/>
        </w:rPr>
      </w:pPr>
    </w:p>
    <w:p>
      <w:pPr>
        <w:widowControl w:val="0"/>
        <w:tabs>
          <w:tab w:val="left" w:pos="993"/>
        </w:tabs>
        <w:suppressAutoHyphens/>
        <w:jc w:val="both"/>
        <w:rPr>
          <w:color w:val="000000"/>
          <w:szCs w:val="24"/>
          <w:shd w:val="clear" w:color="auto" w:fill="FFFFFF"/>
          <w:lang w:eastAsia="ar-SA"/>
        </w:rPr>
      </w:pPr>
      <w:r>
        <w:rPr>
          <w:color w:val="000000"/>
          <w:szCs w:val="24"/>
          <w:lang w:eastAsia="ar-SA"/>
        </w:rPr>
        <w:t>3.4</w:t>
      </w:r>
      <w:r>
        <w:rPr>
          <w:color w:val="000000"/>
          <w:szCs w:val="24"/>
          <w:lang w:eastAsia="ar-SA"/>
        </w:rPr>
        <w:t>. Nė viena šalis neatsako už visišką ar dalinį įsipareigojimų pagal Sutartį neįvykdymą, jeigu ji įrodo, kad įsipareigojimų neįvykdė dėl nenugalimos jėgos (</w:t>
      </w:r>
      <w:r>
        <w:rPr>
          <w:i/>
          <w:iCs/>
          <w:color w:val="000000"/>
          <w:szCs w:val="24"/>
          <w:lang w:eastAsia="ar-SA"/>
        </w:rPr>
        <w:t>force majeure</w:t>
      </w:r>
      <w:r>
        <w:rPr>
          <w:color w:val="000000"/>
          <w:szCs w:val="24"/>
          <w:lang w:eastAsia="ar-SA"/>
        </w:rPr>
        <w:t>) aplinkybių, atsiradusių po Sutarties įsigaliojimo dienos.</w:t>
      </w:r>
    </w:p>
    <w:p>
      <w:pPr>
        <w:rPr>
          <w:sz w:val="20"/>
        </w:rPr>
      </w:pPr>
    </w:p>
    <w:p>
      <w:pPr>
        <w:widowControl w:val="0"/>
        <w:tabs>
          <w:tab w:val="left" w:pos="993"/>
        </w:tabs>
        <w:suppressAutoHyphens/>
        <w:jc w:val="both"/>
        <w:rPr>
          <w:color w:val="000000"/>
          <w:szCs w:val="24"/>
          <w:shd w:val="clear" w:color="auto" w:fill="FFFFFF"/>
          <w:lang w:eastAsia="ar-SA"/>
        </w:rPr>
      </w:pPr>
      <w:r>
        <w:rPr>
          <w:color w:val="000000"/>
          <w:szCs w:val="24"/>
          <w:lang w:eastAsia="ar-SA"/>
        </w:rPr>
        <w:t>3.5</w:t>
      </w:r>
      <w:r>
        <w:rPr>
          <w:color w:val="000000"/>
          <w:szCs w:val="24"/>
          <w:lang w:eastAsia="ar-SA"/>
        </w:rPr>
        <w:t>. Nenugalimos jėgos (</w:t>
      </w:r>
      <w:r>
        <w:rPr>
          <w:i/>
          <w:iCs/>
          <w:color w:val="000000"/>
          <w:szCs w:val="24"/>
          <w:lang w:eastAsia="ar-SA"/>
        </w:rPr>
        <w:t>force majeure</w:t>
      </w:r>
      <w:r>
        <w:rPr>
          <w:color w:val="000000"/>
          <w:szCs w:val="24"/>
          <w:lang w:eastAsia="ar-SA"/>
        </w:rPr>
        <w:t xml:space="preserve">) aplinkybių sąvoka apibrėžiama ir Sutarties šalių teisės, pareigos ir atsakomybė esant šioms aplinkybėms reglamentuojamos Lietuvos Respublikos civilinio kodekso 6.212 straipsnyje ir Atleidimo nuo atsakomybės esant nenugalimos jėgos (force majeure) aplinkybėms taisyklėse, patvirtintose Lietuvos Respublikos Vyriausybės 1996 m. liepos 15 d. nutarimu Nr. 840 „Dėl Atleidimo nuo atsakomybės esant nenugalimos jėgos </w:t>
      </w:r>
      <w:r>
        <w:rPr>
          <w:i/>
          <w:iCs/>
          <w:color w:val="000000"/>
          <w:szCs w:val="24"/>
          <w:lang w:eastAsia="ar-SA"/>
        </w:rPr>
        <w:t>(force majeure</w:t>
      </w:r>
      <w:r>
        <w:rPr>
          <w:color w:val="000000"/>
          <w:szCs w:val="24"/>
          <w:lang w:eastAsia="ar-SA"/>
        </w:rPr>
        <w:t>) aplinkybėms taisyklių patvirtinimo“. Šalis, negalinti laiku įvykdyti, tinkamai įvykdyti savo sutartinių įsipareigojimų dėl nenugalimos jėgos (</w:t>
      </w:r>
      <w:r>
        <w:rPr>
          <w:i/>
          <w:iCs/>
          <w:color w:val="000000"/>
          <w:szCs w:val="24"/>
          <w:lang w:eastAsia="ar-SA"/>
        </w:rPr>
        <w:t>force majeure</w:t>
      </w:r>
      <w:r>
        <w:rPr>
          <w:color w:val="000000"/>
          <w:szCs w:val="24"/>
          <w:lang w:eastAsia="ar-SA"/>
        </w:rPr>
        <w:t>) aplinkybių, turi kiek įmanoma greičiau, bet ne vėliau kaip per 1 (vieną) darbo dieną nuo aplinkybių paaiškėjimo dienos elektroniniu paštu arba registruotu paštu informuoti apie tai kitą šalį. Šalis, pažeidusi nurodytą terminą, atleidžiama nuo atsakomybės tik nuo to momento, kada kita šalis gavo jos pranešimą apie nenugalimos jėgos (force majeure) aplinkybes.</w:t>
      </w:r>
    </w:p>
    <w:p>
      <w:pPr>
        <w:rPr>
          <w:sz w:val="20"/>
        </w:rPr>
      </w:pPr>
    </w:p>
    <w:p>
      <w:pPr>
        <w:widowControl w:val="0"/>
        <w:tabs>
          <w:tab w:val="left" w:pos="993"/>
        </w:tabs>
        <w:suppressAutoHyphens/>
        <w:jc w:val="both"/>
        <w:rPr>
          <w:color w:val="000000"/>
          <w:szCs w:val="24"/>
          <w:shd w:val="clear" w:color="auto" w:fill="FFFFFF"/>
          <w:lang w:eastAsia="ar-SA"/>
        </w:rPr>
      </w:pPr>
    </w:p>
    <w:p>
      <w:pPr>
        <w:widowControl w:val="0"/>
        <w:suppressAutoHyphens/>
        <w:jc w:val="center"/>
        <w:rPr>
          <w:b/>
          <w:color w:val="000000"/>
          <w:szCs w:val="24"/>
          <w:lang w:eastAsia="ar-SA"/>
        </w:rPr>
      </w:pPr>
      <w:r>
        <w:rPr>
          <w:b/>
          <w:color w:val="000000"/>
          <w:szCs w:val="24"/>
          <w:lang w:eastAsia="ar-SA"/>
        </w:rPr>
        <w:t>IV</w:t>
      </w:r>
      <w:r>
        <w:rPr>
          <w:b/>
          <w:color w:val="000000"/>
          <w:szCs w:val="24"/>
          <w:lang w:eastAsia="ar-SA"/>
        </w:rPr>
        <w:t xml:space="preserve">. </w:t>
      </w:r>
      <w:r>
        <w:rPr>
          <w:b/>
          <w:color w:val="000000"/>
          <w:szCs w:val="24"/>
          <w:lang w:eastAsia="ar-SA"/>
        </w:rPr>
        <w:t>Atsiskaitymo tvarka ir terminai</w:t>
      </w:r>
    </w:p>
    <w:p>
      <w:pPr>
        <w:widowControl w:val="0"/>
        <w:tabs>
          <w:tab w:val="left" w:pos="567"/>
        </w:tabs>
        <w:suppressAutoHyphens/>
        <w:jc w:val="both"/>
        <w:rPr>
          <w:color w:val="000000"/>
          <w:szCs w:val="24"/>
          <w:lang w:eastAsia="ar-SA"/>
        </w:rPr>
      </w:pPr>
    </w:p>
    <w:p>
      <w:pPr>
        <w:widowControl w:val="0"/>
        <w:tabs>
          <w:tab w:val="left" w:pos="567"/>
        </w:tabs>
        <w:suppressAutoHyphens/>
        <w:jc w:val="both"/>
        <w:rPr>
          <w:color w:val="000000"/>
          <w:szCs w:val="24"/>
          <w:lang w:eastAsia="ar-SA"/>
        </w:rPr>
      </w:pPr>
      <w:r>
        <w:rPr>
          <w:color w:val="000000"/>
          <w:szCs w:val="24"/>
          <w:lang w:eastAsia="ar-SA"/>
        </w:rPr>
        <w:t>4.1</w:t>
      </w:r>
      <w:r>
        <w:rPr>
          <w:color w:val="000000"/>
          <w:szCs w:val="24"/>
          <w:lang w:eastAsia="ar-SA"/>
        </w:rPr>
        <w:t xml:space="preserve">. Vykdytojas su LKC už skirtą valstybinį finansavimą įsipareigoja atsiskaityti </w:t>
      </w:r>
      <w:r>
        <w:rPr>
          <w:color w:val="000000"/>
          <w:spacing w:val="4"/>
          <w:szCs w:val="24"/>
          <w:lang w:eastAsia="ar-SA"/>
        </w:rPr>
        <w:t>per 20 darbo dienų nuo Sutarties 1.3 punkte numatyto termino pasibaigimo,</w:t>
      </w:r>
      <w:r>
        <w:rPr>
          <w:color w:val="000000"/>
          <w:szCs w:val="24"/>
          <w:lang w:eastAsia="ar-SA"/>
        </w:rPr>
        <w:t xml:space="preserve"> ne vėliau kaip iki einamųjų biudžetinių metų gruodžio 15 dienos, o tęstinio festivalio Vykdytojas – iki gruodžio 20 dienos, pateikdamas:</w:t>
      </w:r>
    </w:p>
    <w:p>
      <w:pPr>
        <w:widowControl w:val="0"/>
        <w:tabs>
          <w:tab w:val="left" w:pos="567"/>
        </w:tabs>
        <w:suppressAutoHyphens/>
        <w:jc w:val="both"/>
        <w:rPr>
          <w:color w:val="000000"/>
          <w:szCs w:val="24"/>
          <w:lang w:eastAsia="ar-SA"/>
        </w:rPr>
      </w:pPr>
      <w:r>
        <w:rPr>
          <w:color w:val="000000"/>
          <w:szCs w:val="24"/>
          <w:lang w:eastAsia="ar-SA"/>
        </w:rPr>
        <w:t>4.1.1</w:t>
      </w:r>
      <w:r>
        <w:rPr>
          <w:color w:val="000000"/>
          <w:szCs w:val="24"/>
          <w:lang w:eastAsia="ar-SA"/>
        </w:rPr>
        <w:t xml:space="preserve">. </w:t>
      </w:r>
      <w:r>
        <w:rPr>
          <w:color w:val="000000"/>
          <w:spacing w:val="1"/>
          <w:szCs w:val="24"/>
          <w:lang w:eastAsia="ar-SA"/>
        </w:rPr>
        <w:t>jeigu Projektui LKC skirtas finansavimas ne</w:t>
      </w:r>
      <w:r>
        <w:rPr>
          <w:color w:val="000000"/>
          <w:szCs w:val="24"/>
          <w:lang w:eastAsia="ar-SA"/>
        </w:rPr>
        <w:t>siekia 20 000 eurų − LKC direktoriaus įsakymu nustatytos formos Projekto įgyvendinimo ataskaitą;</w:t>
      </w:r>
    </w:p>
    <w:p>
      <w:pPr>
        <w:widowControl w:val="0"/>
        <w:tabs>
          <w:tab w:val="left" w:pos="567"/>
        </w:tabs>
        <w:suppressAutoHyphens/>
        <w:jc w:val="both"/>
        <w:rPr>
          <w:color w:val="000000"/>
          <w:spacing w:val="1"/>
          <w:szCs w:val="24"/>
          <w:lang w:eastAsia="ar-SA"/>
        </w:rPr>
      </w:pPr>
      <w:r>
        <w:rPr>
          <w:color w:val="000000"/>
          <w:szCs w:val="24"/>
          <w:lang w:eastAsia="ar-SA"/>
        </w:rPr>
        <w:t>4.1.2</w:t>
      </w:r>
      <w:r>
        <w:rPr>
          <w:color w:val="000000"/>
          <w:szCs w:val="24"/>
          <w:lang w:eastAsia="ar-SA"/>
        </w:rPr>
        <w:t>. jeigu Projektui LKC skirtas finansavimas siekia ar viršija 20 000 eurų − LKC direktoriaus įsakymu nustatytos formos Ataskaitą apie projekto rezultatus ir LKC direktoriaus įsakymu nustatytos formos projektą vertinusio auditoriaus išvadą.</w:t>
      </w:r>
      <w:r>
        <w:rPr>
          <w:color w:val="000000"/>
          <w:spacing w:val="1"/>
          <w:szCs w:val="24"/>
          <w:lang w:eastAsia="ar-SA"/>
        </w:rPr>
        <w:t xml:space="preserve"> </w:t>
      </w:r>
    </w:p>
    <w:p>
      <w:pPr>
        <w:widowControl w:val="0"/>
        <w:tabs>
          <w:tab w:val="left" w:pos="1134"/>
        </w:tabs>
        <w:suppressAutoHyphens/>
        <w:jc w:val="both"/>
        <w:rPr>
          <w:color w:val="000000"/>
          <w:szCs w:val="24"/>
          <w:lang w:eastAsia="ar-SA"/>
        </w:rPr>
      </w:pPr>
      <w:r>
        <w:rPr>
          <w:rFonts w:eastAsia="MS Mincho"/>
          <w:color w:val="000000"/>
          <w:szCs w:val="24"/>
          <w:lang w:eastAsia="ar-SA"/>
        </w:rPr>
        <w:t>4.1.3</w:t>
      </w:r>
      <w:r>
        <w:rPr>
          <w:rFonts w:eastAsia="MS Mincho"/>
          <w:color w:val="000000"/>
          <w:szCs w:val="24"/>
          <w:lang w:eastAsia="ar-SA"/>
        </w:rPr>
        <w:t xml:space="preserve">. </w:t>
      </w:r>
      <w:r>
        <w:rPr>
          <w:color w:val="000000"/>
          <w:szCs w:val="24"/>
          <w:lang w:eastAsia="ar-SA"/>
        </w:rPr>
        <w:t>Ataskaitos, pateiktos vėliau nei per Taisyklių 48 punkte nustatytus terminus, laikomos pateiktomis pavėlavus ir Vykdytojas vertinamas kaip neatsiskaitęs už anksčiau gautą kino valstybinį finansavimą. Tokio Vykdytojo paraiškos nepriimamos ir/ar valstybinis kino finansavimas neskiriamas 6 kalendorinius mėnesius nuo nustatyto ataskaitos pateikimo termino. Vykdytojui vėluojant pateikti ataskaitą daugiau nei 2 kalendorinius mėnesius nuo nustatyto ataskaitos pateikimo termino, LKC taip pat imasi veiksmų dėl Vykdytojui skirtų lėšų projekto įgyvendinimui, už kurį ataskaita nebuvo pateikta nustatytu terminu, grąžinimo.  </w:t>
      </w:r>
    </w:p>
    <w:p>
      <w:pPr>
        <w:suppressAutoHyphens/>
        <w:jc w:val="both"/>
        <w:rPr>
          <w:color w:val="000000"/>
          <w:szCs w:val="24"/>
          <w:lang w:eastAsia="ar-SA"/>
        </w:rPr>
      </w:pPr>
      <w:r>
        <w:rPr>
          <w:color w:val="000000"/>
          <w:szCs w:val="24"/>
          <w:lang w:eastAsia="ar-SA"/>
        </w:rPr>
        <w:t>4.2</w:t>
      </w:r>
      <w:r>
        <w:rPr>
          <w:color w:val="000000"/>
          <w:szCs w:val="24"/>
          <w:lang w:eastAsia="ar-SA"/>
        </w:rPr>
        <w:t>. Vykdytojas taip pat privalo ir įsipareigoja:</w:t>
      </w:r>
    </w:p>
    <w:p>
      <w:pPr>
        <w:widowControl w:val="0"/>
        <w:tabs>
          <w:tab w:val="left" w:pos="567"/>
        </w:tabs>
        <w:suppressAutoHyphens/>
        <w:jc w:val="both"/>
        <w:rPr>
          <w:color w:val="000000"/>
          <w:szCs w:val="24"/>
          <w:lang w:eastAsia="ar-SA"/>
        </w:rPr>
      </w:pPr>
      <w:r>
        <w:rPr>
          <w:color w:val="000000"/>
          <w:szCs w:val="24"/>
          <w:lang w:eastAsia="ar-SA"/>
        </w:rPr>
        <w:t>4.2.1</w:t>
      </w:r>
      <w:r>
        <w:rPr>
          <w:color w:val="000000"/>
          <w:szCs w:val="24"/>
          <w:lang w:eastAsia="ar-SA"/>
        </w:rPr>
        <w:t>. nepanaudotas Projekto vykdymui valstybės biudžeto lėšas, pasibaigus Projektui, per 5 darbo dienas grąžinti į Lietuvos kino centro sąskaitą;</w:t>
      </w:r>
    </w:p>
    <w:p>
      <w:pPr>
        <w:widowControl w:val="0"/>
        <w:tabs>
          <w:tab w:val="left" w:pos="567"/>
        </w:tabs>
        <w:suppressAutoHyphens/>
        <w:jc w:val="both"/>
        <w:rPr>
          <w:color w:val="000000"/>
          <w:szCs w:val="24"/>
          <w:lang w:eastAsia="ar-SA"/>
        </w:rPr>
      </w:pPr>
      <w:r>
        <w:rPr>
          <w:color w:val="000000"/>
          <w:szCs w:val="24"/>
          <w:lang w:eastAsia="ar-SA"/>
        </w:rPr>
        <w:t>4.2.2</w:t>
      </w:r>
      <w:r>
        <w:rPr>
          <w:color w:val="000000"/>
          <w:szCs w:val="24"/>
          <w:lang w:eastAsia="ar-SA"/>
        </w:rPr>
        <w:t>. saugoti ir, LKC pareikalavus, pateikti visus Projekto patirtas išlaidas patvirtinančius dokumentus, ne mažiau kaip 5 metus po Projekto įvykdymo.</w:t>
      </w:r>
    </w:p>
    <w:p>
      <w:pPr>
        <w:widowControl w:val="0"/>
        <w:tabs>
          <w:tab w:val="left" w:pos="567"/>
        </w:tabs>
        <w:suppressAutoHyphens/>
        <w:jc w:val="center"/>
        <w:rPr>
          <w:b/>
          <w:color w:val="000000"/>
          <w:szCs w:val="24"/>
          <w:lang w:eastAsia="ar-SA"/>
        </w:rPr>
      </w:pPr>
    </w:p>
    <w:p>
      <w:pPr>
        <w:rPr>
          <w:sz w:val="10"/>
          <w:szCs w:val="10"/>
        </w:rPr>
      </w:pPr>
    </w:p>
    <w:p>
      <w:pPr>
        <w:widowControl w:val="0"/>
        <w:tabs>
          <w:tab w:val="left" w:pos="567"/>
        </w:tabs>
        <w:suppressAutoHyphens/>
        <w:jc w:val="center"/>
        <w:rPr>
          <w:b/>
          <w:color w:val="000000"/>
          <w:szCs w:val="24"/>
          <w:lang w:eastAsia="ar-SA"/>
        </w:rPr>
      </w:pPr>
      <w:r>
        <w:rPr>
          <w:b/>
          <w:color w:val="000000"/>
          <w:szCs w:val="24"/>
          <w:lang w:eastAsia="ar-SA"/>
        </w:rPr>
        <w:t>V</w:t>
      </w:r>
      <w:r>
        <w:rPr>
          <w:b/>
          <w:color w:val="000000"/>
          <w:szCs w:val="24"/>
          <w:lang w:eastAsia="ar-SA"/>
        </w:rPr>
        <w:t xml:space="preserve">. </w:t>
      </w:r>
      <w:r>
        <w:rPr>
          <w:b/>
          <w:color w:val="000000"/>
          <w:szCs w:val="24"/>
          <w:lang w:eastAsia="ar-SA"/>
        </w:rPr>
        <w:t>Projekto vykdymo kontrolė ir Vykdytojo atsakomybė</w:t>
      </w:r>
    </w:p>
    <w:p>
      <w:pPr>
        <w:rPr>
          <w:sz w:val="10"/>
          <w:szCs w:val="10"/>
        </w:rPr>
      </w:pPr>
    </w:p>
    <w:p>
      <w:pPr>
        <w:widowControl w:val="0"/>
        <w:suppressAutoHyphens/>
        <w:jc w:val="both"/>
        <w:rPr>
          <w:color w:val="000000"/>
          <w:szCs w:val="24"/>
          <w:lang w:eastAsia="ar-SA"/>
        </w:rPr>
      </w:pPr>
    </w:p>
    <w:p>
      <w:pPr>
        <w:widowControl w:val="0"/>
        <w:tabs>
          <w:tab w:val="left" w:pos="567"/>
        </w:tabs>
        <w:suppressAutoHyphens/>
        <w:jc w:val="both"/>
        <w:rPr>
          <w:color w:val="000000"/>
          <w:szCs w:val="24"/>
          <w:lang w:eastAsia="ar-SA"/>
        </w:rPr>
      </w:pPr>
      <w:r>
        <w:rPr>
          <w:color w:val="000000"/>
          <w:szCs w:val="24"/>
          <w:lang w:eastAsia="ar-SA"/>
        </w:rPr>
        <w:t>5.1</w:t>
      </w:r>
      <w:r>
        <w:rPr>
          <w:color w:val="000000"/>
          <w:szCs w:val="24"/>
          <w:lang w:eastAsia="ar-SA"/>
        </w:rPr>
        <w:t>. Vykdytojas per 10 darbo dienų nuo LKC pareikalavimo gavimo privalo pateikti visų Projekto išlaidas pateisinančių ir apmokėjimą įrodančių dokumentų patvirtintas kopijas, kitus su Projekto vykdymu susijusius dokumentus ir medžiagą.</w:t>
      </w:r>
    </w:p>
    <w:p>
      <w:pPr>
        <w:widowControl w:val="0"/>
        <w:tabs>
          <w:tab w:val="left" w:pos="567"/>
        </w:tabs>
        <w:suppressAutoHyphens/>
        <w:jc w:val="both"/>
        <w:rPr>
          <w:color w:val="000000"/>
          <w:szCs w:val="24"/>
          <w:lang w:eastAsia="ar-SA"/>
        </w:rPr>
      </w:pPr>
      <w:r>
        <w:rPr>
          <w:color w:val="000000"/>
          <w:szCs w:val="24"/>
          <w:lang w:eastAsia="ar-SA"/>
        </w:rPr>
        <w:t>5.2</w:t>
      </w:r>
      <w:r>
        <w:rPr>
          <w:color w:val="000000"/>
          <w:szCs w:val="24"/>
          <w:lang w:eastAsia="ar-SA"/>
        </w:rPr>
        <w:t>. Praleidus sąmatų tikslinimo terminą ar kitaip pažeidus Sutartyje ir Taisyklėse nustatytą sąmatų tikslinimo tvarką, sąmatų tikslinti negalima. Tokiu atveju išlaidos, viršijančios leidžiamus nukrypimus, pripažįstamos netinkamomis ir LKC rašytiniu reikalavimu turi būti grąžintos iki einamųjų biudžetinių metų pabaigos arba priverstinai išieškomos teisės aktų nustatyta tvarka.</w:t>
      </w:r>
    </w:p>
    <w:p>
      <w:pPr>
        <w:widowControl w:val="0"/>
        <w:tabs>
          <w:tab w:val="left" w:pos="567"/>
        </w:tabs>
        <w:suppressAutoHyphens/>
        <w:jc w:val="both"/>
        <w:rPr>
          <w:color w:val="000000"/>
          <w:szCs w:val="24"/>
          <w:lang w:eastAsia="ar-SA"/>
        </w:rPr>
      </w:pPr>
    </w:p>
    <w:p>
      <w:pPr>
        <w:widowControl w:val="0"/>
        <w:tabs>
          <w:tab w:val="left" w:pos="567"/>
        </w:tabs>
        <w:suppressAutoHyphens/>
        <w:jc w:val="center"/>
        <w:rPr>
          <w:b/>
          <w:color w:val="000000"/>
          <w:szCs w:val="24"/>
          <w:lang w:eastAsia="ar-SA"/>
        </w:rPr>
      </w:pPr>
      <w:r>
        <w:rPr>
          <w:b/>
          <w:color w:val="000000"/>
          <w:szCs w:val="24"/>
          <w:lang w:eastAsia="ar-SA"/>
        </w:rPr>
        <w:t>VI</w:t>
      </w:r>
      <w:r>
        <w:rPr>
          <w:b/>
          <w:color w:val="000000"/>
          <w:szCs w:val="24"/>
          <w:lang w:eastAsia="ar-SA"/>
        </w:rPr>
        <w:t xml:space="preserve">. </w:t>
      </w:r>
      <w:r>
        <w:rPr>
          <w:b/>
          <w:color w:val="000000"/>
          <w:szCs w:val="24"/>
          <w:lang w:eastAsia="ar-SA"/>
        </w:rPr>
        <w:t>Sutarties papildymas, pakeitimas, nutraukimo tvarka ir terminai</w:t>
      </w:r>
    </w:p>
    <w:p>
      <w:pPr>
        <w:widowControl w:val="0"/>
        <w:tabs>
          <w:tab w:val="left" w:pos="567"/>
        </w:tabs>
        <w:suppressAutoHyphens/>
        <w:jc w:val="both"/>
        <w:rPr>
          <w:b/>
          <w:color w:val="000000"/>
          <w:szCs w:val="24"/>
          <w:lang w:eastAsia="ar-SA"/>
        </w:rPr>
      </w:pPr>
    </w:p>
    <w:p>
      <w:pPr>
        <w:widowControl w:val="0"/>
        <w:tabs>
          <w:tab w:val="left" w:pos="567"/>
        </w:tabs>
        <w:suppressAutoHyphens/>
        <w:jc w:val="both"/>
        <w:rPr>
          <w:color w:val="000000"/>
          <w:szCs w:val="24"/>
          <w:lang w:eastAsia="ar-SA"/>
        </w:rPr>
      </w:pPr>
      <w:r>
        <w:rPr>
          <w:color w:val="000000"/>
          <w:szCs w:val="24"/>
          <w:lang w:eastAsia="ar-SA"/>
        </w:rPr>
        <w:t>6.1</w:t>
      </w:r>
      <w:r>
        <w:rPr>
          <w:color w:val="000000"/>
          <w:szCs w:val="24"/>
          <w:lang w:eastAsia="ar-SA"/>
        </w:rPr>
        <w:t>. Jeigu viena iš šalių dėl nenumatytų priežasčių negali įvykdyti kurio nors šios Sutarties punkto, ji nedelsdama raštu kreipiasi į kitą šalį dėl sutarties papildymo, pakeitimo ar nutraukimo. Sutarties papildymai ir pakeitimai galioja tik raštu sutikus abiem šalims.</w:t>
      </w:r>
    </w:p>
    <w:p>
      <w:pPr>
        <w:widowControl w:val="0"/>
        <w:tabs>
          <w:tab w:val="left" w:pos="567"/>
        </w:tabs>
        <w:suppressAutoHyphens/>
        <w:jc w:val="both"/>
        <w:rPr>
          <w:color w:val="000000"/>
          <w:szCs w:val="24"/>
          <w:lang w:eastAsia="ar-SA"/>
        </w:rPr>
      </w:pPr>
      <w:r>
        <w:rPr>
          <w:color w:val="000000"/>
          <w:szCs w:val="24"/>
          <w:lang w:eastAsia="ar-SA"/>
        </w:rPr>
        <w:t>6.2</w:t>
      </w:r>
      <w:r>
        <w:rPr>
          <w:color w:val="000000"/>
          <w:szCs w:val="24"/>
          <w:lang w:eastAsia="ar-SA"/>
        </w:rPr>
        <w:t>. Sutartis gali būti nutraukta:</w:t>
      </w:r>
    </w:p>
    <w:p>
      <w:pPr>
        <w:widowControl w:val="0"/>
        <w:tabs>
          <w:tab w:val="left" w:pos="567"/>
        </w:tabs>
        <w:suppressAutoHyphens/>
        <w:jc w:val="both"/>
        <w:rPr>
          <w:color w:val="000000"/>
          <w:szCs w:val="24"/>
          <w:lang w:eastAsia="ar-SA"/>
        </w:rPr>
      </w:pPr>
      <w:r>
        <w:rPr>
          <w:color w:val="000000"/>
          <w:szCs w:val="24"/>
          <w:lang w:eastAsia="ar-SA"/>
        </w:rPr>
        <w:t>6.2.1</w:t>
      </w:r>
      <w:r>
        <w:rPr>
          <w:color w:val="000000"/>
          <w:szCs w:val="24"/>
          <w:lang w:eastAsia="ar-SA"/>
        </w:rPr>
        <w:t>. rašytiniu Sutarties šalių susitarimu;</w:t>
      </w:r>
    </w:p>
    <w:p>
      <w:pPr>
        <w:widowControl w:val="0"/>
        <w:tabs>
          <w:tab w:val="left" w:pos="567"/>
        </w:tabs>
        <w:suppressAutoHyphens/>
        <w:jc w:val="both"/>
        <w:rPr>
          <w:color w:val="000000"/>
          <w:szCs w:val="24"/>
          <w:lang w:eastAsia="ar-SA"/>
        </w:rPr>
      </w:pPr>
      <w:r>
        <w:rPr>
          <w:color w:val="000000"/>
          <w:szCs w:val="24"/>
          <w:lang w:eastAsia="ar-SA"/>
        </w:rPr>
        <w:t>6.2.2</w:t>
      </w:r>
      <w:r>
        <w:rPr>
          <w:color w:val="000000"/>
          <w:szCs w:val="24"/>
          <w:lang w:eastAsia="ar-SA"/>
        </w:rPr>
        <w:t>. vienos iš Sutarties šalių iniciatyva (rašytiniu reikalavimu), jei kita šalis nevykdo ar netinkamai vykdo šioje Sutartyje nustatytus įsipareigojimus, apie tai raštu informuojant kaltąją Sutarties šalį ne vėliau nei prieš 14 kalendorinių dienų iki numatomo Sutarties nutraukimo;</w:t>
      </w:r>
    </w:p>
    <w:p>
      <w:pPr>
        <w:widowControl w:val="0"/>
        <w:tabs>
          <w:tab w:val="left" w:pos="567"/>
        </w:tabs>
        <w:suppressAutoHyphens/>
        <w:jc w:val="both"/>
        <w:rPr>
          <w:color w:val="000000"/>
          <w:szCs w:val="24"/>
          <w:lang w:eastAsia="ar-SA"/>
        </w:rPr>
      </w:pPr>
      <w:r>
        <w:rPr>
          <w:color w:val="000000"/>
          <w:szCs w:val="24"/>
          <w:lang w:eastAsia="ar-SA"/>
        </w:rPr>
        <w:t>6.2.3</w:t>
      </w:r>
      <w:r>
        <w:rPr>
          <w:color w:val="000000"/>
          <w:szCs w:val="24"/>
          <w:lang w:eastAsia="ar-SA"/>
        </w:rPr>
        <w:t>. vienašališkai LKC iniciatyva šioje Sutarties dalyje numatytais atvejais.</w:t>
      </w:r>
    </w:p>
    <w:p>
      <w:pPr>
        <w:widowControl w:val="0"/>
        <w:tabs>
          <w:tab w:val="left" w:pos="567"/>
        </w:tabs>
        <w:suppressAutoHyphens/>
        <w:jc w:val="both"/>
        <w:rPr>
          <w:color w:val="000000"/>
          <w:szCs w:val="24"/>
          <w:lang w:eastAsia="ar-SA"/>
        </w:rPr>
      </w:pPr>
      <w:r>
        <w:rPr>
          <w:color w:val="000000"/>
          <w:szCs w:val="24"/>
          <w:lang w:eastAsia="ar-SA"/>
        </w:rPr>
        <w:t>6.3</w:t>
      </w:r>
      <w:r>
        <w:rPr>
          <w:color w:val="000000"/>
          <w:szCs w:val="24"/>
          <w:lang w:eastAsia="ar-SA"/>
        </w:rPr>
        <w:t>. Sutartį nutraukus dėl Vykdytojo kaltės, Vykdytojas privalo per 10 darbo dienų grąžinti LKC visą gautų lėšų sumą. LKC gali nustatyti kitokį lėšų grąžinimo terminą.</w:t>
      </w:r>
    </w:p>
    <w:p>
      <w:pPr>
        <w:widowControl w:val="0"/>
        <w:tabs>
          <w:tab w:val="left" w:pos="567"/>
        </w:tabs>
        <w:suppressAutoHyphens/>
        <w:jc w:val="both"/>
        <w:rPr>
          <w:color w:val="000000"/>
          <w:szCs w:val="24"/>
          <w:lang w:eastAsia="ar-SA"/>
        </w:rPr>
      </w:pPr>
      <w:r>
        <w:rPr>
          <w:color w:val="000000"/>
          <w:szCs w:val="24"/>
          <w:lang w:eastAsia="ar-SA"/>
        </w:rPr>
        <w:t>6.4</w:t>
      </w:r>
      <w:r>
        <w:rPr>
          <w:color w:val="000000"/>
          <w:szCs w:val="24"/>
          <w:lang w:eastAsia="ar-SA"/>
        </w:rPr>
        <w:t>. Sutartį nutraukus dėl LKC kaltės, LKC pagal Vykdytojo pateiktus atsiskaitymo dokumentus apmoka sąmatoje numatytas Projekto vykdymo išlaidas, faktiškai patirtas iki LKC pranešimo apie Sutarties nutraukimą dienos, neviršydamas šios Sutarties 1.8 punkte numatytos sumos.</w:t>
      </w:r>
    </w:p>
    <w:p>
      <w:pPr>
        <w:widowControl w:val="0"/>
        <w:tabs>
          <w:tab w:val="left" w:pos="567"/>
        </w:tabs>
        <w:suppressAutoHyphens/>
        <w:jc w:val="both"/>
        <w:rPr>
          <w:color w:val="000000"/>
          <w:szCs w:val="24"/>
          <w:lang w:eastAsia="ar-SA"/>
        </w:rPr>
      </w:pPr>
      <w:r>
        <w:rPr>
          <w:color w:val="000000"/>
          <w:szCs w:val="24"/>
          <w:lang w:eastAsia="ar-SA"/>
        </w:rPr>
        <w:t>6.5</w:t>
      </w:r>
      <w:r>
        <w:rPr>
          <w:color w:val="000000"/>
          <w:szCs w:val="24"/>
          <w:lang w:eastAsia="ar-SA"/>
        </w:rPr>
        <w:t>. LKC turi teisę vienašališkai nutraukti šią Sutartį, jeigu:</w:t>
      </w:r>
    </w:p>
    <w:p>
      <w:pPr>
        <w:widowControl w:val="0"/>
        <w:tabs>
          <w:tab w:val="left" w:pos="567"/>
        </w:tabs>
        <w:suppressAutoHyphens/>
        <w:jc w:val="both"/>
        <w:rPr>
          <w:color w:val="000000"/>
          <w:szCs w:val="24"/>
          <w:lang w:eastAsia="ar-SA"/>
        </w:rPr>
      </w:pPr>
      <w:r>
        <w:rPr>
          <w:color w:val="000000"/>
          <w:szCs w:val="24"/>
          <w:lang w:eastAsia="ar-SA"/>
        </w:rPr>
        <w:t>6.5.1</w:t>
      </w:r>
      <w:r>
        <w:rPr>
          <w:color w:val="000000"/>
          <w:szCs w:val="24"/>
          <w:lang w:eastAsia="ar-SA"/>
        </w:rPr>
        <w:t>. LKC nustato, kad Vykdytojas kino valstybinio finansavimo lėšas panaudojo ne pagal paskirtį;</w:t>
      </w:r>
    </w:p>
    <w:p>
      <w:pPr>
        <w:widowControl w:val="0"/>
        <w:tabs>
          <w:tab w:val="left" w:pos="567"/>
        </w:tabs>
        <w:suppressAutoHyphens/>
        <w:jc w:val="both"/>
        <w:rPr>
          <w:color w:val="000000"/>
          <w:szCs w:val="24"/>
          <w:lang w:eastAsia="ar-SA"/>
        </w:rPr>
      </w:pPr>
      <w:r>
        <w:rPr>
          <w:color w:val="000000"/>
          <w:szCs w:val="24"/>
          <w:lang w:eastAsia="ar-SA"/>
        </w:rPr>
        <w:t>6.5.2</w:t>
      </w:r>
      <w:r>
        <w:rPr>
          <w:color w:val="000000"/>
          <w:szCs w:val="24"/>
          <w:lang w:eastAsia="ar-SA"/>
        </w:rPr>
        <w:t>. Lietuvos Respublikos kino įstatymo 9 straipsnio 7 dalyje nustatyti apribojimai atsiranda arba paaiškėja sutarties vykdymo metu ir jų priežasčių neįmanoma pašalinti Sutarties galiojimo laikotarpiu;</w:t>
      </w:r>
    </w:p>
    <w:p>
      <w:pPr>
        <w:widowControl w:val="0"/>
        <w:tabs>
          <w:tab w:val="left" w:pos="567"/>
        </w:tabs>
        <w:suppressAutoHyphens/>
        <w:jc w:val="both"/>
        <w:rPr>
          <w:color w:val="000000"/>
          <w:szCs w:val="24"/>
          <w:lang w:eastAsia="ar-SA"/>
        </w:rPr>
      </w:pPr>
      <w:r>
        <w:rPr>
          <w:color w:val="000000"/>
          <w:szCs w:val="24"/>
          <w:lang w:eastAsia="ar-SA"/>
        </w:rPr>
        <w:t>6.5.3</w:t>
      </w:r>
      <w:r>
        <w:rPr>
          <w:color w:val="000000"/>
          <w:szCs w:val="24"/>
          <w:lang w:eastAsia="ar-SA"/>
        </w:rPr>
        <w:t>. Vykdytojas nesilaiko Sutartyje nustatytų terminų ir, kai LKC raštu nustato papildomą terminą įsipareigojimams įvykdyti, neįvykdo įsipareigojimų ir per šį papildomą terminą.</w:t>
      </w:r>
    </w:p>
    <w:p>
      <w:pPr>
        <w:widowControl w:val="0"/>
        <w:tabs>
          <w:tab w:val="left" w:pos="567"/>
        </w:tabs>
        <w:suppressAutoHyphens/>
        <w:jc w:val="both"/>
        <w:rPr>
          <w:color w:val="000000"/>
          <w:szCs w:val="24"/>
          <w:lang w:eastAsia="ar-SA"/>
        </w:rPr>
      </w:pPr>
      <w:r>
        <w:rPr>
          <w:color w:val="000000"/>
          <w:szCs w:val="24"/>
          <w:lang w:eastAsia="ar-SA"/>
        </w:rPr>
        <w:t>6.6</w:t>
      </w:r>
      <w:r>
        <w:rPr>
          <w:color w:val="000000"/>
          <w:szCs w:val="24"/>
          <w:lang w:eastAsia="ar-SA"/>
        </w:rPr>
        <w:t xml:space="preserve">. LKC vienašališkai nutraukus Sutartį, Vykdytojas privalo visas iš LKC pagal šią Sutartį gautas lėšas grąžinti į LKC nurodytą sąskaitą per 10 darbo dienų nuo LKC rašytinio pareikalavimo grąžinti lėšas dienos, jeigu LKC raštu nenustatė kito lėšų grąžinimo termino. </w:t>
      </w:r>
    </w:p>
    <w:p>
      <w:pPr>
        <w:widowControl w:val="0"/>
        <w:tabs>
          <w:tab w:val="left" w:pos="567"/>
        </w:tabs>
        <w:suppressAutoHyphens/>
        <w:jc w:val="both"/>
        <w:rPr>
          <w:color w:val="000000"/>
          <w:szCs w:val="24"/>
          <w:lang w:eastAsia="ar-SA"/>
        </w:rPr>
      </w:pPr>
      <w:r>
        <w:rPr>
          <w:color w:val="000000"/>
          <w:szCs w:val="24"/>
          <w:lang w:eastAsia="ar-SA"/>
        </w:rPr>
        <w:t>6.7</w:t>
      </w:r>
      <w:r>
        <w:rPr>
          <w:color w:val="000000"/>
          <w:szCs w:val="24"/>
          <w:lang w:eastAsia="ar-SA"/>
        </w:rPr>
        <w:t>. Jeigu Vykdytojas negrąžina lėšų per Sutarties 6.6 punkte nurodytą terminą, negrąžintos lėšos išieškomos Lietuvos Respublikos teisės aktų nustatyta tvarka, o Vykdytojui penkerius metus nuo sprendimo išieškoti negrąžintas lėšas dienos neskiriamas kino valstybinis finansavimas.</w:t>
      </w:r>
    </w:p>
    <w:p>
      <w:pPr>
        <w:widowControl w:val="0"/>
        <w:suppressAutoHyphens/>
        <w:jc w:val="center"/>
        <w:rPr>
          <w:b/>
          <w:color w:val="000000"/>
          <w:szCs w:val="24"/>
          <w:lang w:eastAsia="ar-SA"/>
        </w:rPr>
      </w:pPr>
    </w:p>
    <w:p>
      <w:pPr>
        <w:widowControl w:val="0"/>
        <w:suppressAutoHyphens/>
        <w:jc w:val="center"/>
        <w:rPr>
          <w:color w:val="000000"/>
          <w:szCs w:val="24"/>
          <w:lang w:eastAsia="ar-SA"/>
        </w:rPr>
      </w:pPr>
      <w:r>
        <w:rPr>
          <w:b/>
          <w:color w:val="000000"/>
          <w:szCs w:val="24"/>
          <w:lang w:eastAsia="ar-SA"/>
        </w:rPr>
        <w:t>VII</w:t>
      </w:r>
      <w:r>
        <w:rPr>
          <w:b/>
          <w:color w:val="000000"/>
          <w:szCs w:val="24"/>
          <w:lang w:eastAsia="ar-SA"/>
        </w:rPr>
        <w:t xml:space="preserve">. </w:t>
      </w:r>
      <w:r>
        <w:rPr>
          <w:b/>
          <w:color w:val="000000"/>
          <w:szCs w:val="24"/>
          <w:lang w:eastAsia="ar-SA"/>
        </w:rPr>
        <w:t>Baigiamosios sąlygos</w:t>
      </w:r>
    </w:p>
    <w:p>
      <w:pPr>
        <w:widowControl w:val="0"/>
        <w:suppressAutoHyphens/>
        <w:ind w:firstLine="62"/>
        <w:jc w:val="both"/>
        <w:rPr>
          <w:color w:val="000000"/>
          <w:szCs w:val="24"/>
          <w:lang w:eastAsia="ar-SA"/>
        </w:rPr>
      </w:pPr>
    </w:p>
    <w:p>
      <w:pPr>
        <w:widowControl w:val="0"/>
        <w:tabs>
          <w:tab w:val="left" w:pos="567"/>
        </w:tabs>
        <w:suppressAutoHyphens/>
        <w:jc w:val="both"/>
        <w:rPr>
          <w:color w:val="000000"/>
          <w:szCs w:val="24"/>
          <w:lang w:eastAsia="ar-SA"/>
        </w:rPr>
      </w:pPr>
      <w:r>
        <w:rPr>
          <w:color w:val="000000"/>
          <w:szCs w:val="24"/>
          <w:lang w:eastAsia="ar-SA"/>
        </w:rPr>
        <w:t>7.1</w:t>
      </w:r>
      <w:r>
        <w:rPr>
          <w:color w:val="000000"/>
          <w:szCs w:val="24"/>
          <w:lang w:eastAsia="ar-SA"/>
        </w:rPr>
        <w:t>. Sutartis sudaryta ir vykdoma vadovaujantis Taisyklėmis. Tuo atveju, jeigu Sutartis nereglamentuoja kurių nors Šalių santykių, susijusių su jos vykdymu ir Projekto įgyvendinimu, taikomos Taisyklių nuostatos.</w:t>
      </w:r>
    </w:p>
    <w:p>
      <w:pPr>
        <w:widowControl w:val="0"/>
        <w:tabs>
          <w:tab w:val="left" w:pos="567"/>
        </w:tabs>
        <w:suppressAutoHyphens/>
        <w:jc w:val="both"/>
        <w:rPr>
          <w:color w:val="000000"/>
          <w:szCs w:val="24"/>
          <w:lang w:eastAsia="ar-SA"/>
        </w:rPr>
      </w:pPr>
      <w:r>
        <w:rPr>
          <w:color w:val="000000"/>
          <w:szCs w:val="24"/>
          <w:lang w:eastAsia="ar-SA"/>
        </w:rPr>
        <w:t>7.2</w:t>
      </w:r>
      <w:r>
        <w:rPr>
          <w:color w:val="000000"/>
          <w:szCs w:val="24"/>
          <w:lang w:eastAsia="ar-SA"/>
        </w:rPr>
        <w:t xml:space="preserve">. Sutartyje nurodomi asmens duomenys (vardas, pavardė, gyvenamosios vietos adresas, el. pašto adresas, telefono numeris ir kiti kontaktiniai duomenys) yra tvarkomi LKC, kaip duomenų valdytojo, finansavimo pareiškėjams skyrimo, LKC  sprendimams priimti gavimo bei dokumentų valdymo tikslais. Asmens duomenys tvarkomi siekiant viešojo intereso ir vykdant LKC  taikomus teisės aktų reikalavimus, vadovaujantis 2016 m. balandžio 27 d. Europos Parlamento ir Tarybos reglamento </w:t>
      </w:r>
      <w:fldSimple w:instr="HYPERLINK http://eur-lex.europa.eu/legal-content/LIT/TXT/?uri=CELEX:32016R0679&amp;locale=lt \t _blank">
        <w:r>
          <w:rPr>
            <w:color w:val="0000FF" w:themeColor="hyperlink"/>
            <w:szCs w:val="24"/>
            <w:lang w:eastAsia="ar-SA"/>
            <w:u w:val="single"/>
          </w:rPr>
          <w:t>(ES) 2016/679</w:t>
        </w:r>
      </w:fldSimple>
      <w:r>
        <w:rPr>
          <w:color w:val="000000"/>
          <w:szCs w:val="24"/>
          <w:lang w:eastAsia="ar-SA"/>
        </w:rPr>
        <w:t xml:space="preserve"> dėl fizinių asmenų apsaugos tvarkant asmens duomenis ir dėl laisvo tokių duomenų judėjimo ir kuriuo panaikinama Direktyva </w:t>
      </w:r>
      <w:fldSimple w:instr="HYPERLINK http://eur-lex.europa.eu/legal-content/LIT/TXT/?uri=CELEX:31995L0046&amp;locale=lt \t _blank">
        <w:r>
          <w:rPr>
            <w:color w:val="0000FF" w:themeColor="hyperlink"/>
            <w:szCs w:val="24"/>
            <w:lang w:eastAsia="ar-SA"/>
            <w:u w:val="single"/>
          </w:rPr>
          <w:t>95/46/EB</w:t>
        </w:r>
      </w:fldSimple>
      <w:r>
        <w:rPr>
          <w:color w:val="000000"/>
          <w:szCs w:val="24"/>
          <w:lang w:eastAsia="ar-SA"/>
        </w:rPr>
        <w:t xml:space="preserve"> (Bendrojo duomenų apsaugos reglamento) 6 str. 1 d. c ir e punktais. Asmens duomenys saugomi LKC dokumentacijos plane ir Asmens duomenų tvarkymo LKC tvarkos apraše numatytais terminais.  </w:t>
      </w:r>
    </w:p>
    <w:p>
      <w:pPr>
        <w:widowControl w:val="0"/>
        <w:tabs>
          <w:tab w:val="left" w:pos="567"/>
        </w:tabs>
        <w:suppressAutoHyphens/>
        <w:jc w:val="both"/>
        <w:rPr>
          <w:color w:val="000000"/>
          <w:szCs w:val="24"/>
          <w:lang w:eastAsia="ar-SA"/>
        </w:rPr>
      </w:pPr>
      <w:r>
        <w:rPr>
          <w:color w:val="000000"/>
          <w:szCs w:val="24"/>
          <w:lang w:eastAsia="ar-SA"/>
        </w:rPr>
        <w:t>7.3</w:t>
      </w:r>
      <w:r>
        <w:rPr>
          <w:color w:val="000000"/>
          <w:szCs w:val="24"/>
          <w:lang w:eastAsia="ar-SA"/>
        </w:rPr>
        <w:t>. Už įsipareigojimų nevykdymą ar netinkamą vykdymą šalys atsako šios Sutarties ir Lietuvos Respublikos teisės aktų nustatyta tvarka.</w:t>
      </w:r>
    </w:p>
    <w:p>
      <w:pPr>
        <w:widowControl w:val="0"/>
        <w:tabs>
          <w:tab w:val="left" w:pos="567"/>
        </w:tabs>
        <w:suppressAutoHyphens/>
        <w:jc w:val="both"/>
        <w:rPr>
          <w:color w:val="000000"/>
          <w:szCs w:val="24"/>
          <w:lang w:eastAsia="ar-SA"/>
        </w:rPr>
      </w:pPr>
      <w:r>
        <w:rPr>
          <w:color w:val="000000"/>
          <w:szCs w:val="24"/>
          <w:lang w:eastAsia="ar-SA"/>
        </w:rPr>
        <w:t>7.4</w:t>
      </w:r>
      <w:r>
        <w:rPr>
          <w:color w:val="000000"/>
          <w:szCs w:val="24"/>
          <w:lang w:eastAsia="ar-SA"/>
        </w:rPr>
        <w:t>. LKC neatsako už sutarties vykdymo nesklandumus, kylančius dėl Vykdytojo Sutartyje neteisingai nurodytų rekvizitų ir kitų duomenų. Už jų tikslumą ir teisingumą atsako Vykdytojas.</w:t>
      </w:r>
    </w:p>
    <w:p>
      <w:pPr>
        <w:widowControl w:val="0"/>
        <w:tabs>
          <w:tab w:val="left" w:pos="567"/>
        </w:tabs>
        <w:suppressAutoHyphens/>
        <w:jc w:val="both"/>
        <w:rPr>
          <w:color w:val="000000"/>
          <w:szCs w:val="24"/>
          <w:lang w:eastAsia="ar-SA"/>
        </w:rPr>
      </w:pPr>
      <w:r>
        <w:rPr>
          <w:color w:val="000000"/>
          <w:szCs w:val="24"/>
          <w:lang w:eastAsia="ar-SA"/>
        </w:rPr>
        <w:t>7.5</w:t>
      </w:r>
      <w:r>
        <w:rPr>
          <w:color w:val="000000"/>
          <w:szCs w:val="24"/>
          <w:lang w:eastAsia="ar-SA"/>
        </w:rPr>
        <w:t>. Ginčai dėl šios Sutarties vykdymo sprendžiami šalių susitarimu, o nesusitarus – Lietuvos Respublikos įstatymų nustatyta tvarka Lietuvos teismuose.</w:t>
      </w:r>
    </w:p>
    <w:p>
      <w:pPr>
        <w:widowControl w:val="0"/>
        <w:tabs>
          <w:tab w:val="left" w:pos="567"/>
        </w:tabs>
        <w:suppressAutoHyphens/>
        <w:jc w:val="both"/>
        <w:rPr>
          <w:color w:val="000000"/>
          <w:szCs w:val="24"/>
          <w:lang w:eastAsia="ar-SA"/>
        </w:rPr>
      </w:pPr>
      <w:r>
        <w:rPr>
          <w:color w:val="000000"/>
          <w:szCs w:val="24"/>
          <w:lang w:eastAsia="ar-SA"/>
        </w:rPr>
        <w:t>7.6</w:t>
      </w:r>
      <w:r>
        <w:rPr>
          <w:color w:val="000000"/>
          <w:szCs w:val="24"/>
          <w:lang w:eastAsia="ar-SA"/>
        </w:rPr>
        <w:t>. Sutartis sudaryta dviem vienodą juridinę galią turinčiais egzemplioriais, po vieną kiekvienai šaliai.</w:t>
      </w:r>
    </w:p>
    <w:p>
      <w:pPr>
        <w:widowControl w:val="0"/>
        <w:tabs>
          <w:tab w:val="left" w:pos="567"/>
        </w:tabs>
        <w:suppressAutoHyphens/>
        <w:jc w:val="both"/>
        <w:rPr>
          <w:color w:val="000000"/>
          <w:szCs w:val="24"/>
          <w:lang w:eastAsia="ar-SA"/>
        </w:rPr>
      </w:pPr>
      <w:r>
        <w:rPr>
          <w:color w:val="000000"/>
          <w:szCs w:val="24"/>
          <w:lang w:eastAsia="ar-SA"/>
        </w:rPr>
        <w:t>7.7</w:t>
      </w:r>
      <w:r>
        <w:rPr>
          <w:color w:val="000000"/>
          <w:szCs w:val="24"/>
          <w:lang w:eastAsia="ar-SA"/>
        </w:rPr>
        <w:t>. Sutartis įsigalioja nuo jos pasirašymo dienos ir galioja, iki šalys visiškai įvykdys savo įsipareigojimus.</w:t>
      </w:r>
    </w:p>
    <w:p>
      <w:pPr>
        <w:widowControl w:val="0"/>
        <w:suppressAutoHyphens/>
        <w:jc w:val="center"/>
        <w:rPr>
          <w:b/>
          <w:color w:val="000000"/>
          <w:szCs w:val="24"/>
          <w:lang w:eastAsia="ar-SA"/>
        </w:rPr>
      </w:pPr>
    </w:p>
    <w:p>
      <w:pPr>
        <w:widowControl w:val="0"/>
        <w:tabs>
          <w:tab w:val="left" w:pos="0"/>
        </w:tabs>
        <w:suppressAutoHyphens/>
        <w:jc w:val="center"/>
        <w:outlineLvl w:val="2"/>
        <w:rPr>
          <w:b/>
          <w:color w:val="000000"/>
          <w:szCs w:val="24"/>
          <w:lang w:eastAsia="ar-SA"/>
        </w:rPr>
      </w:pPr>
      <w:r>
        <w:rPr>
          <w:b/>
          <w:color w:val="000000"/>
          <w:szCs w:val="24"/>
          <w:lang w:eastAsia="ar-SA"/>
        </w:rPr>
        <w:t>VIII dalis. Šalių rekvizitai ir jų atstovų parašai</w:t>
      </w:r>
    </w:p>
    <w:p>
      <w:pPr>
        <w:widowControl w:val="0"/>
        <w:suppressAutoHyphens/>
        <w:rPr>
          <w:color w:val="000000"/>
          <w:szCs w:val="24"/>
          <w:lang w:eastAsia="ar-SA"/>
        </w:rPr>
      </w:pPr>
    </w:p>
    <w:tbl>
      <w:tblPr>
        <w:tblW w:w="9388" w:type="dxa"/>
        <w:tblInd w:w="-318" w:type="dxa"/>
        <w:tblLook w:val="01E0" w:firstRow="1" w:lastRow="1" w:firstColumn="1" w:lastColumn="1" w:noHBand="0" w:noVBand="0"/>
      </w:tblPr>
      <w:tblGrid>
        <w:gridCol w:w="4758"/>
        <w:gridCol w:w="384"/>
        <w:gridCol w:w="3901"/>
        <w:gridCol w:w="345"/>
      </w:tblGrid>
      <w:tr>
        <w:trPr>
          <w:gridAfter w:val="1"/>
          <w:wAfter w:w="388" w:type="dxa"/>
        </w:trPr>
        <w:tc>
          <w:tcPr>
            <w:tcW w:w="5388" w:type="dxa"/>
            <w:gridSpan w:val="2"/>
          </w:tcPr>
          <w:p>
            <w:pPr>
              <w:suppressAutoHyphens/>
              <w:rPr>
                <w:b/>
                <w:color w:val="000000"/>
                <w:szCs w:val="24"/>
                <w:lang w:eastAsia="ar-SA"/>
              </w:rPr>
            </w:pPr>
            <w:r>
              <w:rPr>
                <w:b/>
                <w:color w:val="000000"/>
                <w:szCs w:val="24"/>
                <w:lang w:eastAsia="ar-SA"/>
              </w:rPr>
              <w:t>Lietuvos kino centras prie Kultūros ministerijos</w:t>
            </w:r>
          </w:p>
        </w:tc>
        <w:tc>
          <w:tcPr>
            <w:tcW w:w="4000" w:type="dxa"/>
          </w:tcPr>
          <w:p>
            <w:pPr>
              <w:widowControl w:val="0"/>
              <w:suppressAutoHyphens/>
              <w:jc w:val="center"/>
              <w:rPr>
                <w:color w:val="000000"/>
                <w:szCs w:val="24"/>
                <w:lang w:eastAsia="ar-SA"/>
              </w:rPr>
            </w:pPr>
            <w:r>
              <w:rPr>
                <w:color w:val="000000"/>
                <w:szCs w:val="24"/>
                <w:lang w:eastAsia="ar-SA"/>
              </w:rPr>
              <w:t>___________________</w:t>
            </w:r>
          </w:p>
          <w:p>
            <w:pPr>
              <w:widowControl w:val="0"/>
              <w:suppressAutoHyphens/>
              <w:jc w:val="center"/>
              <w:rPr>
                <w:color w:val="000000"/>
                <w:sz w:val="20"/>
                <w:szCs w:val="24"/>
                <w:lang w:eastAsia="ar-SA"/>
              </w:rPr>
            </w:pPr>
            <w:r>
              <w:rPr>
                <w:i/>
                <w:color w:val="000000"/>
                <w:sz w:val="20"/>
                <w:szCs w:val="24"/>
                <w:lang w:eastAsia="ar-SA"/>
              </w:rPr>
              <w:t>(Vykdytojo pavadinimas arba vardas ir pavardė)</w:t>
            </w:r>
          </w:p>
        </w:tc>
      </w:tr>
      <w:tr>
        <w:trPr>
          <w:gridAfter w:val="1"/>
          <w:wAfter w:w="388" w:type="dxa"/>
        </w:trPr>
        <w:tc>
          <w:tcPr>
            <w:tcW w:w="5388" w:type="dxa"/>
            <w:gridSpan w:val="2"/>
          </w:tcPr>
          <w:p>
            <w:pPr>
              <w:suppressAutoHyphens/>
              <w:rPr>
                <w:color w:val="000000"/>
                <w:szCs w:val="24"/>
                <w:lang w:eastAsia="ar-SA"/>
              </w:rPr>
            </w:pPr>
            <w:r>
              <w:rPr>
                <w:color w:val="000000"/>
                <w:szCs w:val="24"/>
                <w:lang w:eastAsia="ar-SA"/>
              </w:rPr>
              <w:t xml:space="preserve">Kodas 302783199                </w:t>
            </w:r>
          </w:p>
        </w:tc>
        <w:tc>
          <w:tcPr>
            <w:tcW w:w="4000" w:type="dxa"/>
          </w:tcPr>
          <w:p>
            <w:pPr>
              <w:widowControl w:val="0"/>
              <w:suppressAutoHyphens/>
              <w:rPr>
                <w:color w:val="000000"/>
                <w:szCs w:val="24"/>
                <w:lang w:eastAsia="ar-SA"/>
              </w:rPr>
            </w:pPr>
            <w:r>
              <w:rPr>
                <w:color w:val="000000"/>
                <w:szCs w:val="24"/>
                <w:lang w:eastAsia="ar-SA"/>
              </w:rPr>
              <w:t>Kodas</w:t>
            </w:r>
          </w:p>
        </w:tc>
      </w:tr>
      <w:tr>
        <w:trPr>
          <w:gridAfter w:val="1"/>
          <w:wAfter w:w="388" w:type="dxa"/>
        </w:trPr>
        <w:tc>
          <w:tcPr>
            <w:tcW w:w="5388" w:type="dxa"/>
            <w:gridSpan w:val="2"/>
          </w:tcPr>
          <w:p>
            <w:pPr>
              <w:suppressAutoHyphens/>
              <w:rPr>
                <w:color w:val="000000"/>
                <w:szCs w:val="24"/>
                <w:lang w:eastAsia="ar-SA"/>
              </w:rPr>
            </w:pPr>
            <w:r>
              <w:rPr>
                <w:color w:val="000000"/>
                <w:szCs w:val="24"/>
                <w:lang w:eastAsia="ar-SA"/>
              </w:rPr>
              <w:t xml:space="preserve">Adresas: Z. Sierakausko g. 15, LT-03105 Vilnius                    </w:t>
            </w:r>
          </w:p>
        </w:tc>
        <w:tc>
          <w:tcPr>
            <w:tcW w:w="4000" w:type="dxa"/>
          </w:tcPr>
          <w:p>
            <w:pPr>
              <w:widowControl w:val="0"/>
              <w:suppressAutoHyphens/>
              <w:rPr>
                <w:color w:val="000000"/>
                <w:szCs w:val="24"/>
                <w:lang w:eastAsia="ar-SA"/>
              </w:rPr>
            </w:pPr>
            <w:r>
              <w:rPr>
                <w:color w:val="000000"/>
                <w:szCs w:val="24"/>
                <w:lang w:eastAsia="ar-SA"/>
              </w:rPr>
              <w:t>Adresas</w:t>
            </w:r>
          </w:p>
        </w:tc>
      </w:tr>
      <w:tr>
        <w:trPr>
          <w:gridAfter w:val="1"/>
          <w:wAfter w:w="388" w:type="dxa"/>
        </w:trPr>
        <w:tc>
          <w:tcPr>
            <w:tcW w:w="5388" w:type="dxa"/>
            <w:gridSpan w:val="2"/>
          </w:tcPr>
          <w:p>
            <w:pPr>
              <w:suppressAutoHyphens/>
              <w:rPr>
                <w:szCs w:val="24"/>
                <w:lang w:eastAsia="ar-SA"/>
              </w:rPr>
            </w:pPr>
            <w:r>
              <w:rPr>
                <w:szCs w:val="24"/>
                <w:lang w:eastAsia="ar-SA"/>
              </w:rPr>
              <w:t>Lietuvos Respublikos Finansų ministerija</w:t>
            </w:r>
          </w:p>
          <w:p>
            <w:pPr>
              <w:suppressAutoHyphens/>
              <w:rPr>
                <w:color w:val="000000"/>
                <w:szCs w:val="24"/>
                <w:lang w:eastAsia="ar-SA"/>
              </w:rPr>
            </w:pPr>
            <w:r>
              <w:rPr>
                <w:szCs w:val="24"/>
                <w:lang w:eastAsia="ar-SA"/>
              </w:rPr>
              <w:t>Sąsk. Nr. LT834040063610000312</w:t>
            </w:r>
          </w:p>
        </w:tc>
        <w:tc>
          <w:tcPr>
            <w:tcW w:w="4000" w:type="dxa"/>
          </w:tcPr>
          <w:p>
            <w:pPr>
              <w:widowControl w:val="0"/>
              <w:suppressAutoHyphens/>
              <w:rPr>
                <w:color w:val="000000"/>
                <w:szCs w:val="24"/>
                <w:lang w:eastAsia="ar-SA"/>
              </w:rPr>
            </w:pPr>
            <w:r>
              <w:rPr>
                <w:color w:val="000000"/>
                <w:szCs w:val="24"/>
                <w:lang w:eastAsia="ar-SA"/>
              </w:rPr>
              <w:t>Sąsk. Nr.</w:t>
            </w:r>
          </w:p>
        </w:tc>
      </w:tr>
      <w:tr>
        <w:trPr>
          <w:gridAfter w:val="1"/>
          <w:wAfter w:w="388" w:type="dxa"/>
        </w:trPr>
        <w:tc>
          <w:tcPr>
            <w:tcW w:w="5388" w:type="dxa"/>
            <w:gridSpan w:val="2"/>
          </w:tcPr>
          <w:p>
            <w:pPr>
              <w:suppressAutoHyphens/>
              <w:rPr>
                <w:color w:val="000000"/>
                <w:szCs w:val="24"/>
                <w:lang w:eastAsia="ar-SA"/>
              </w:rPr>
            </w:pPr>
            <w:r>
              <w:rPr>
                <w:szCs w:val="24"/>
                <w:lang w:eastAsia="ar-SA"/>
              </w:rPr>
              <w:t xml:space="preserve">Kodas   40400</w:t>
            </w:r>
          </w:p>
        </w:tc>
        <w:tc>
          <w:tcPr>
            <w:tcW w:w="4000" w:type="dxa"/>
          </w:tcPr>
          <w:p>
            <w:pPr>
              <w:widowControl w:val="0"/>
              <w:suppressAutoHyphens/>
              <w:rPr>
                <w:color w:val="000000"/>
                <w:szCs w:val="24"/>
                <w:lang w:eastAsia="ar-SA"/>
              </w:rPr>
            </w:pPr>
            <w:r>
              <w:rPr>
                <w:color w:val="000000"/>
                <w:szCs w:val="24"/>
                <w:lang w:eastAsia="ar-SA"/>
              </w:rPr>
              <w:t>Banko kodas</w:t>
            </w:r>
          </w:p>
        </w:tc>
      </w:tr>
      <w:tr>
        <w:trPr>
          <w:gridAfter w:val="1"/>
          <w:wAfter w:w="388" w:type="dxa"/>
        </w:trPr>
        <w:tc>
          <w:tcPr>
            <w:tcW w:w="5388" w:type="dxa"/>
            <w:gridSpan w:val="2"/>
          </w:tcPr>
          <w:p>
            <w:pPr>
              <w:suppressAutoHyphens/>
              <w:rPr>
                <w:color w:val="000000"/>
                <w:szCs w:val="24"/>
                <w:lang w:eastAsia="ar-SA"/>
              </w:rPr>
            </w:pPr>
            <w:r>
              <w:rPr>
                <w:color w:val="000000"/>
                <w:szCs w:val="24"/>
                <w:lang w:eastAsia="ar-SA"/>
              </w:rPr>
              <w:t>Telefonas +370 656 15395</w:t>
            </w:r>
          </w:p>
        </w:tc>
        <w:tc>
          <w:tcPr>
            <w:tcW w:w="4000" w:type="dxa"/>
          </w:tcPr>
          <w:p>
            <w:pPr>
              <w:widowControl w:val="0"/>
              <w:suppressAutoHyphens/>
              <w:rPr>
                <w:color w:val="000000"/>
                <w:szCs w:val="24"/>
                <w:lang w:eastAsia="ar-SA"/>
              </w:rPr>
            </w:pPr>
            <w:r>
              <w:rPr>
                <w:color w:val="000000"/>
                <w:szCs w:val="24"/>
                <w:lang w:eastAsia="ar-SA"/>
              </w:rPr>
              <w:t>Telefonas</w:t>
            </w:r>
          </w:p>
        </w:tc>
      </w:tr>
      <w:tr>
        <w:trPr>
          <w:gridAfter w:val="1"/>
          <w:wAfter w:w="388" w:type="dxa"/>
        </w:trPr>
        <w:tc>
          <w:tcPr>
            <w:tcW w:w="5388" w:type="dxa"/>
            <w:gridSpan w:val="2"/>
          </w:tcPr>
          <w:p>
            <w:pPr>
              <w:suppressAutoHyphens/>
              <w:rPr>
                <w:color w:val="000000"/>
                <w:szCs w:val="24"/>
                <w:lang w:eastAsia="ar-SA"/>
              </w:rPr>
            </w:pPr>
            <w:r>
              <w:rPr>
                <w:color w:val="000000"/>
                <w:szCs w:val="24"/>
                <w:lang w:eastAsia="ar-SA"/>
              </w:rPr>
              <w:t xml:space="preserve">El. paštas info@lkc.lt </w:t>
            </w:r>
          </w:p>
          <w:p>
            <w:pPr>
              <w:suppressAutoHyphens/>
              <w:rPr>
                <w:color w:val="000000"/>
                <w:szCs w:val="24"/>
                <w:lang w:eastAsia="ar-SA"/>
              </w:rPr>
            </w:pPr>
          </w:p>
        </w:tc>
        <w:tc>
          <w:tcPr>
            <w:tcW w:w="4000" w:type="dxa"/>
          </w:tcPr>
          <w:p>
            <w:pPr>
              <w:widowControl w:val="0"/>
              <w:suppressAutoHyphens/>
              <w:rPr>
                <w:color w:val="000000"/>
                <w:szCs w:val="24"/>
                <w:lang w:eastAsia="ar-SA"/>
              </w:rPr>
            </w:pPr>
            <w:r>
              <w:rPr>
                <w:color w:val="000000"/>
                <w:szCs w:val="24"/>
                <w:lang w:eastAsia="ar-SA"/>
              </w:rPr>
              <w:t>El. paštas</w:t>
            </w:r>
          </w:p>
        </w:tc>
      </w:tr>
      <w:tr>
        <w:trPr>
          <w:gridAfter w:val="1"/>
          <w:wAfter w:w="388" w:type="dxa"/>
        </w:trPr>
        <w:tc>
          <w:tcPr>
            <w:tcW w:w="5388" w:type="dxa"/>
            <w:gridSpan w:val="2"/>
          </w:tcPr>
          <w:p>
            <w:pPr>
              <w:suppressAutoHyphens/>
              <w:rPr>
                <w:color w:val="000000"/>
                <w:szCs w:val="24"/>
                <w:lang w:eastAsia="ar-SA"/>
              </w:rPr>
            </w:pPr>
          </w:p>
        </w:tc>
        <w:tc>
          <w:tcPr>
            <w:tcW w:w="4000" w:type="dxa"/>
          </w:tcPr>
          <w:p>
            <w:pPr>
              <w:widowControl w:val="0"/>
              <w:suppressAutoHyphens/>
              <w:rPr>
                <w:color w:val="000000"/>
                <w:szCs w:val="24"/>
                <w:lang w:eastAsia="ar-SA"/>
              </w:rPr>
            </w:pPr>
          </w:p>
        </w:tc>
      </w:tr>
      <w:tr>
        <w:trPr>
          <w:gridAfter w:val="1"/>
          <w:wAfter w:w="388" w:type="dxa"/>
        </w:trPr>
        <w:tc>
          <w:tcPr>
            <w:tcW w:w="5388" w:type="dxa"/>
            <w:gridSpan w:val="2"/>
          </w:tcPr>
          <w:p>
            <w:pPr>
              <w:widowControl w:val="0"/>
              <w:suppressAutoHyphens/>
              <w:rPr>
                <w:color w:val="000000"/>
                <w:sz w:val="20"/>
                <w:szCs w:val="24"/>
                <w:lang w:eastAsia="ar-SA"/>
              </w:rPr>
            </w:pPr>
          </w:p>
        </w:tc>
        <w:tc>
          <w:tcPr>
            <w:tcW w:w="4000" w:type="dxa"/>
          </w:tcPr>
          <w:p>
            <w:pPr>
              <w:widowControl w:val="0"/>
              <w:suppressAutoHyphens/>
              <w:rPr>
                <w:color w:val="000000"/>
                <w:szCs w:val="24"/>
                <w:lang w:eastAsia="ar-SA"/>
              </w:rPr>
            </w:pPr>
          </w:p>
        </w:tc>
      </w:tr>
      <w:tr>
        <w:tblPrEx>
          <w:tblLook w:val="04A0" w:firstRow="1" w:lastRow="0" w:firstColumn="1" w:lastColumn="0" w:noHBand="0" w:noVBand="1"/>
        </w:tblPrEx>
        <w:trPr>
          <w:trHeight w:val="1145"/>
        </w:trPr>
        <w:tc>
          <w:tcPr>
            <w:tcW w:w="4961" w:type="dxa"/>
          </w:tcPr>
          <w:p>
            <w:pPr>
              <w:suppressAutoHyphens/>
              <w:rPr>
                <w:i/>
                <w:color w:val="000000"/>
                <w:sz w:val="20"/>
                <w:lang w:eastAsia="ar-SA"/>
              </w:rPr>
            </w:pPr>
            <w:r>
              <w:rPr>
                <w:i/>
                <w:color w:val="000000"/>
                <w:sz w:val="20"/>
                <w:lang w:eastAsia="ar-SA"/>
              </w:rPr>
              <w:t>_______________________________</w:t>
            </w:r>
          </w:p>
          <w:p>
            <w:pPr>
              <w:suppressAutoHyphens/>
              <w:rPr>
                <w:i/>
                <w:color w:val="000000"/>
                <w:sz w:val="20"/>
                <w:lang w:eastAsia="ar-SA"/>
              </w:rPr>
            </w:pPr>
            <w:r>
              <w:rPr>
                <w:i/>
                <w:color w:val="000000"/>
                <w:sz w:val="20"/>
                <w:lang w:eastAsia="ar-SA"/>
              </w:rPr>
              <w:t xml:space="preserve">(pareigų pavadinimas, vardas ir pavardė)                     </w:t>
            </w:r>
          </w:p>
          <w:p>
            <w:pPr>
              <w:suppressAutoHyphens/>
              <w:ind w:firstLine="1749"/>
              <w:rPr>
                <w:i/>
                <w:color w:val="000000"/>
                <w:sz w:val="20"/>
                <w:lang w:eastAsia="ar-SA"/>
              </w:rPr>
            </w:pPr>
            <w:r>
              <w:rPr>
                <w:i/>
                <w:color w:val="000000"/>
                <w:sz w:val="20"/>
                <w:lang w:eastAsia="ar-SA"/>
              </w:rPr>
              <w:t>A.V.</w:t>
            </w:r>
          </w:p>
          <w:p>
            <w:pPr>
              <w:suppressAutoHyphens/>
              <w:rPr>
                <w:i/>
                <w:color w:val="000000"/>
                <w:sz w:val="20"/>
                <w:lang w:eastAsia="ar-SA"/>
              </w:rPr>
            </w:pPr>
            <w:r>
              <w:rPr>
                <w:i/>
                <w:color w:val="000000"/>
                <w:sz w:val="20"/>
                <w:lang w:eastAsia="ar-SA"/>
              </w:rPr>
              <w:t>_________________________</w:t>
            </w:r>
          </w:p>
          <w:p>
            <w:pPr>
              <w:suppressAutoHyphens/>
              <w:rPr>
                <w:i/>
                <w:color w:val="000000"/>
                <w:sz w:val="20"/>
                <w:lang w:eastAsia="ar-SA"/>
              </w:rPr>
            </w:pPr>
            <w:r>
              <w:rPr>
                <w:i/>
                <w:color w:val="000000"/>
                <w:sz w:val="20"/>
                <w:lang w:eastAsia="ar-SA"/>
              </w:rPr>
              <w:t>(parašas)</w:t>
            </w:r>
          </w:p>
        </w:tc>
        <w:tc>
          <w:tcPr>
            <w:tcW w:w="4815" w:type="dxa"/>
            <w:gridSpan w:val="3"/>
          </w:tcPr>
          <w:p>
            <w:pPr>
              <w:suppressAutoHyphens/>
              <w:rPr>
                <w:i/>
                <w:color w:val="000000"/>
                <w:sz w:val="20"/>
                <w:lang w:eastAsia="ar-SA"/>
              </w:rPr>
            </w:pPr>
            <w:r>
              <w:rPr>
                <w:i/>
                <w:color w:val="000000"/>
                <w:sz w:val="20"/>
                <w:lang w:eastAsia="ar-SA"/>
              </w:rPr>
              <w:t>_______________________________</w:t>
            </w:r>
          </w:p>
          <w:p>
            <w:pPr>
              <w:suppressAutoHyphens/>
              <w:rPr>
                <w:i/>
                <w:color w:val="000000"/>
                <w:sz w:val="20"/>
                <w:lang w:eastAsia="ar-SA"/>
              </w:rPr>
            </w:pPr>
            <w:r>
              <w:rPr>
                <w:i/>
                <w:color w:val="000000"/>
                <w:sz w:val="20"/>
                <w:lang w:eastAsia="ar-SA"/>
              </w:rPr>
              <w:t xml:space="preserve">(pareigų pavadinimas*, vardas ir pavardė)                     </w:t>
            </w:r>
          </w:p>
          <w:p>
            <w:pPr>
              <w:suppressAutoHyphens/>
              <w:ind w:firstLine="1749"/>
              <w:rPr>
                <w:i/>
                <w:color w:val="000000"/>
                <w:sz w:val="20"/>
                <w:lang w:eastAsia="ar-SA"/>
              </w:rPr>
            </w:pPr>
            <w:r>
              <w:rPr>
                <w:i/>
                <w:color w:val="000000"/>
                <w:sz w:val="20"/>
                <w:lang w:eastAsia="ar-SA"/>
              </w:rPr>
              <w:t>A.V.</w:t>
            </w:r>
          </w:p>
          <w:p>
            <w:pPr>
              <w:suppressAutoHyphens/>
              <w:rPr>
                <w:i/>
                <w:color w:val="000000"/>
                <w:sz w:val="20"/>
                <w:lang w:eastAsia="ar-SA"/>
              </w:rPr>
            </w:pPr>
            <w:r>
              <w:rPr>
                <w:i/>
                <w:color w:val="000000"/>
                <w:sz w:val="20"/>
                <w:lang w:eastAsia="ar-SA"/>
              </w:rPr>
              <w:t>_________________________</w:t>
            </w:r>
          </w:p>
          <w:p>
            <w:pPr>
              <w:suppressAutoHyphens/>
              <w:rPr>
                <w:i/>
                <w:color w:val="000000"/>
                <w:sz w:val="20"/>
                <w:lang w:eastAsia="ar-SA"/>
              </w:rPr>
            </w:pPr>
            <w:r>
              <w:rPr>
                <w:i/>
                <w:color w:val="000000"/>
                <w:sz w:val="20"/>
                <w:lang w:eastAsia="ar-SA"/>
              </w:rPr>
              <w:t>(parašas)</w:t>
            </w:r>
          </w:p>
        </w:tc>
      </w:tr>
    </w:tbl>
    <w:p>
      <w:pPr>
        <w:suppressAutoHyphens/>
        <w:rPr>
          <w:color w:val="000000"/>
          <w:szCs w:val="24"/>
          <w:lang w:eastAsia="ar-SA"/>
        </w:rPr>
      </w:pPr>
    </w:p>
    <w:p>
      <w:pPr>
        <w:widowControl w:val="0"/>
        <w:suppressAutoHyphens/>
        <w:jc w:val="both"/>
        <w:rPr>
          <w:color w:val="000000"/>
          <w:szCs w:val="24"/>
          <w:lang w:eastAsia="ar-SA"/>
        </w:rPr>
      </w:pPr>
      <w:r>
        <w:rPr>
          <w:color w:val="000000"/>
          <w:sz w:val="20"/>
          <w:lang w:eastAsia="ar-SA"/>
        </w:rPr>
        <w:t>*Nurodoma, kai Vykdytojas yra juridinis asmuo.</w:t>
      </w:r>
    </w:p>
    <w:sectPr>
      <w:headerReference w:type="even" r:id="rId10"/>
      <w:headerReference w:type="default" r:id="rId11"/>
      <w:footerReference w:type="even" r:id="rId12"/>
      <w:footerReference w:type="default" r:id="rId13"/>
      <w:headerReference w:type="first" r:id="rId14"/>
      <w:footerReference w:type="first" r:id="rId15"/>
      <w:pgSz w:w="11906" w:h="16838"/>
      <w:pgMar w:top="1418" w:right="849" w:bottom="1134" w:left="1418" w:header="567" w:footer="567" w:gutter="0"/>
      <w:cols w:space="1296"/>
      <w:titlePg/>
      <w:docGrid w:linePitch="360"/>
    </w:sectPr>
  </w:body>
</w:document>
</file>

<file path=word/endnotes.xml><?xml version="1.0" encoding="utf-8"?>
<w:endnotes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pPr>
        <w:suppressAutoHyphens/>
        <w:rPr>
          <w:szCs w:val="24"/>
          <w:lang w:val="en-GB" w:eastAsia="ar-SA"/>
        </w:rPr>
      </w:pPr>
      <w:r>
        <w:rPr>
          <w:szCs w:val="24"/>
          <w:lang w:val="en-GB" w:eastAsia="ar-SA"/>
        </w:rPr>
        <w:separator/>
      </w:r>
    </w:p>
  </w:endnote>
  <w:endnote w:type="continuationSeparator" w:id="0">
    <w:p>
      <w:pPr>
        <w:suppressAutoHyphens/>
        <w:rPr>
          <w:szCs w:val="24"/>
          <w:lang w:val="en-GB" w:eastAsia="ar-SA"/>
        </w:rPr>
      </w:pPr>
      <w:r>
        <w:rPr>
          <w:szCs w:val="24"/>
          <w:lang w:val="en-GB" w:eastAsia="ar-SA"/>
        </w:rPr>
        <w:continuationSeparator/>
      </w:r>
    </w:p>
  </w:endnote>
  <w:endnote w:type="continuationNotice" w:id="1">
    <w:p/>
  </w:endnote>
</w:endnotes>
</file>

<file path=word/fontTable.xml><?xml version="1.0" encoding="utf-8"?>
<w:font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00002FF" w:usb1="4000ACFF" w:usb2="00000001" w:usb3="00000000" w:csb0="0000019F" w:csb1="00000000"/>
  </w:font>
  <w:font w:name="Arial">
    <w:panose1 w:val="020B0604020202020204"/>
    <w:charset w:val="BA"/>
    <w:family w:val="swiss"/>
    <w:pitch w:val="variable"/>
    <w:sig w:usb0="E0002AFF" w:usb1="C0007843" w:usb2="00000009" w:usb3="00000000" w:csb0="000001FF" w:csb1="00000000"/>
  </w:font>
</w:fonts>
</file>

<file path=word/footer1.xml><?xml version="1.0" encoding="utf-8"?>
<w:ft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tabs>
        <w:tab w:val="center" w:pos="4819"/>
        <w:tab w:val="right" w:pos="9638"/>
      </w:tabs>
      <w:suppressAutoHyphens/>
      <w:rPr>
        <w:szCs w:val="24"/>
        <w:lang w:val="en-GB" w:eastAsia="ar-SA"/>
      </w:rPr>
    </w:pPr>
  </w:p>
</w:ftr>
</file>

<file path=word/footer2.xml><?xml version="1.0" encoding="utf-8"?>
<w:ft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tabs>
        <w:tab w:val="center" w:pos="4819"/>
        <w:tab w:val="right" w:pos="9638"/>
      </w:tabs>
      <w:suppressAutoHyphens/>
      <w:rPr>
        <w:szCs w:val="24"/>
        <w:lang w:val="en-GB" w:eastAsia="ar-SA"/>
      </w:rPr>
    </w:pPr>
  </w:p>
</w:ftr>
</file>

<file path=word/footer3.xml><?xml version="1.0" encoding="utf-8"?>
<w:ft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tabs>
        <w:tab w:val="center" w:pos="4819"/>
        <w:tab w:val="right" w:pos="9638"/>
      </w:tabs>
      <w:suppressAutoHyphens/>
      <w:rPr>
        <w:szCs w:val="24"/>
        <w:lang w:val="en-GB" w:eastAsia="ar-SA"/>
      </w:rPr>
    </w:pPr>
  </w:p>
</w:ftr>
</file>

<file path=word/footnotes.xml><?xml version="1.0" encoding="utf-8"?>
<w:footnotes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pPr>
        <w:suppressAutoHyphens/>
        <w:rPr>
          <w:szCs w:val="24"/>
          <w:lang w:val="en-GB" w:eastAsia="ar-SA"/>
        </w:rPr>
      </w:pPr>
      <w:r>
        <w:rPr>
          <w:szCs w:val="24"/>
          <w:lang w:val="en-GB" w:eastAsia="ar-SA"/>
        </w:rPr>
        <w:separator/>
      </w:r>
    </w:p>
  </w:footnote>
  <w:footnote w:type="continuationSeparator" w:id="0">
    <w:p>
      <w:pPr>
        <w:suppressAutoHyphens/>
        <w:rPr>
          <w:szCs w:val="24"/>
          <w:lang w:val="en-GB" w:eastAsia="ar-SA"/>
        </w:rPr>
      </w:pPr>
      <w:r>
        <w:rPr>
          <w:szCs w:val="24"/>
          <w:lang w:val="en-GB" w:eastAsia="ar-SA"/>
        </w:rPr>
        <w:continuationSeparator/>
      </w:r>
    </w:p>
  </w:footnote>
  <w:footnote w:type="continuationNotice" w:id="1">
    <w:p/>
  </w:footnote>
  <w:footnote w:id="2">
    <w:p>
      <w:pPr>
        <w:suppressAutoHyphens/>
        <w:rPr>
          <w:sz w:val="20"/>
          <w:lang w:eastAsia="ar-SA"/>
        </w:rPr>
      </w:pPr>
      <w:r>
        <w:rPr>
          <w:sz w:val="20"/>
          <w:vertAlign w:val="superscript"/>
          <w:lang w:val="en-GB" w:eastAsia="ar-SA"/>
        </w:rPr>
        <w:footnoteRef/>
      </w:r>
      <w:r>
        <w:rPr>
          <w:sz w:val="20"/>
          <w:lang w:val="pt-BR" w:eastAsia="ar-SA"/>
        </w:rPr>
        <w:t xml:space="preserve"> </w:t>
      </w:r>
      <w:r>
        <w:rPr>
          <w:sz w:val="20"/>
          <w:lang w:eastAsia="ar-SA"/>
        </w:rPr>
        <w:t>Atstovas nurodomas tik tuomet, kai Vykdytojas yra juridinis asmuo.</w:t>
      </w:r>
    </w:p>
  </w:footnote>
</w:footnotes>
</file>

<file path=word/header1.xml><?xml version="1.0" encoding="utf-8"?>
<w:hd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tabs>
        <w:tab w:val="center" w:pos="4819"/>
        <w:tab w:val="right" w:pos="9638"/>
      </w:tabs>
      <w:suppressAutoHyphens/>
      <w:rPr>
        <w:szCs w:val="24"/>
        <w:lang w:val="en-GB" w:eastAsia="ar-SA"/>
      </w:rPr>
    </w:pPr>
  </w:p>
</w:hdr>
</file>

<file path=word/header2.xml><?xml version="1.0" encoding="utf-8"?>
<w:hd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tabs>
        <w:tab w:val="center" w:pos="4819"/>
        <w:tab w:val="right" w:pos="9638"/>
      </w:tabs>
      <w:suppressAutoHyphens/>
      <w:jc w:val="center"/>
      <w:rPr>
        <w:szCs w:val="24"/>
        <w:lang w:val="en-GB" w:eastAsia="ar-SA"/>
      </w:rPr>
    </w:pPr>
    <w:r>
      <w:rPr>
        <w:szCs w:val="24"/>
        <w:lang w:val="en-GB" w:eastAsia="ar-SA"/>
      </w:rPr>
      <w:fldChar w:fldCharType="begin"/>
    </w:r>
    <w:r>
      <w:rPr>
        <w:szCs w:val="24"/>
        <w:lang w:val="en-GB" w:eastAsia="ar-SA"/>
      </w:rPr>
      <w:instrText xml:space="preserve"> PAGE   \* MERGEFORMAT </w:instrText>
    </w:r>
    <w:r>
      <w:rPr>
        <w:szCs w:val="24"/>
        <w:lang w:val="en-GB" w:eastAsia="ar-SA"/>
      </w:rPr>
      <w:fldChar w:fldCharType="separate"/>
    </w:r>
    <w:r>
      <w:rPr>
        <w:szCs w:val="24"/>
        <w:lang w:val="en-GB" w:eastAsia="ar-SA"/>
      </w:rPr>
      <w:t>2</w:t>
    </w:r>
    <w:r>
      <w:rPr>
        <w:szCs w:val="24"/>
        <w:lang w:val="en-GB" w:eastAsia="ar-SA"/>
      </w:rPr>
      <w:fldChar w:fldCharType="end"/>
    </w:r>
  </w:p>
</w:hdr>
</file>

<file path=word/header3.xml><?xml version="1.0" encoding="utf-8"?>
<w:hd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tabs>
        <w:tab w:val="center" w:pos="4986"/>
        <w:tab w:val="right" w:pos="9972"/>
      </w:tabs>
    </w:pPr>
  </w:p>
</w:hdr>
</file>

<file path=word/settings.xml><?xml version="1.0" encoding="utf-8"?>
<w:settings xmlns:w="http://schemas.openxmlformats.org/wordprocessingml/2006/main"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1296"/>
  <w:hyphenationZone w:val="396"/>
  <w:doNotHyphenateCaps/>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3D0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465FB92-7D6C-4449-9706-660C6DE0CD67}"/>
</w:settings>
</file>

<file path=word/styles.xml><?xml version="1.0" encoding="utf-8"?>
<w:style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xmlns:w16se="http://schemas.microsoft.com/office/word/2015/wordml/symex" mc:Ignorable="w14 w15 w16se">
  <w:divs>
    <w:div w:id="689649015">
      <w:bodyDiv w:val="1"/>
      <w:marLeft w:val="0"/>
      <w:marRight w:val="0"/>
      <w:marTop w:val="0"/>
      <w:marBottom w:val="0"/>
      <w:divBdr>
        <w:top w:val="none" w:sz="0" w:space="0" w:color="auto"/>
        <w:left w:val="none" w:sz="0" w:space="0" w:color="auto"/>
        <w:bottom w:val="none" w:sz="0" w:space="0" w:color="auto"/>
        <w:right w:val="none" w:sz="0" w:space="0" w:color="auto"/>
      </w:divBdr>
    </w:div>
    <w:div w:id="1522471680">
      <w:bodyDiv w:val="1"/>
      <w:marLeft w:val="0"/>
      <w:marRight w:val="0"/>
      <w:marTop w:val="0"/>
      <w:marBottom w:val="0"/>
      <w:divBdr>
        <w:top w:val="none" w:sz="0" w:space="0" w:color="auto"/>
        <w:left w:val="none" w:sz="0" w:space="0" w:color="auto"/>
        <w:bottom w:val="none" w:sz="0" w:space="0" w:color="auto"/>
        <w:right w:val="none" w:sz="0" w:space="0" w:color="auto"/>
      </w:divBdr>
    </w:div>
    <w:div w:id="1639608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Relationships xmlns="http://schemas.openxmlformats.org/package/2006/relationships">
  <Relationship Id="rId1" Type="http://schemas.openxmlformats.org/officeDocument/2006/relationships/customXml" Target="../customXml/item1.xml"/>
  <Relationship Id="rId10" Type="http://schemas.openxmlformats.org/officeDocument/2006/relationships/header" Target="header1.xml"/>
  <Relationship Id="rId11" Type="http://schemas.openxmlformats.org/officeDocument/2006/relationships/header" Target="header2.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header" Target="header3.xml"/>
  <Relationship Id="rId15" Type="http://schemas.openxmlformats.org/officeDocument/2006/relationships/footer" Target="footer3.xml"/>
  <Relationship Id="rId16" Type="http://schemas.openxmlformats.org/officeDocument/2006/relationships/fontTable" Target="fontTable.xml"/>
  <Relationship Id="rId17" Type="http://schemas.openxmlformats.org/officeDocument/2006/relationships/theme" Target="theme/theme1.xml"/>
  <Relationship Id="rId2" Type="http://schemas.openxmlformats.org/officeDocument/2006/relationships/customXml" Target="../customXml/item2.xml"/>
  <Relationship Id="rId3" Type="http://schemas.openxmlformats.org/officeDocument/2006/relationships/customXml" Target="../customXml/item3.xml"/>
  <Relationship Id="rId4" Type="http://schemas.openxmlformats.org/officeDocument/2006/relationships/customXml" Target="../customXml/item4.xml"/>
  <Relationship Id="rId5" Type="http://schemas.openxmlformats.org/officeDocument/2006/relationships/styles" Target="styles.xml"/>
  <Relationship Id="rId6" Type="http://schemas.openxmlformats.org/officeDocument/2006/relationships/settings" Target="settings.xml"/>
  <Relationship Id="rId7" Type="http://schemas.openxmlformats.org/officeDocument/2006/relationships/webSettings" Target="webSetting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_rels/item2.xml.rels><?xml version="1.0" encoding="UTF-8"?>

<Relationships xmlns="http://schemas.openxmlformats.org/package/2006/relationships">
  <Relationship Id="rId1" Type="http://schemas.openxmlformats.org/officeDocument/2006/relationships/customXmlProps" Target="itemProps2.xml"/>
</Relationships>

</file>

<file path=customXml/_rels/item3.xml.rels><?xml version="1.0" encoding="UTF-8"?>

<Relationships xmlns="http://schemas.openxmlformats.org/package/2006/relationships">
  <Relationship Id="rId1" Type="http://schemas.openxmlformats.org/officeDocument/2006/relationships/customXmlProps" Target="itemProps3.xml"/>
</Relationships>

</file>

<file path=customXml/_rels/item4.xml.rels><?xml version="1.0" encoding="UTF-8"?>

<Relationships xmlns="http://schemas.openxmlformats.org/package/2006/relationships">
  <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1621be2-09a8-4ecf-a4f6-2b817f971f19" xsi:nil="true"/>
    <lcf76f155ced4ddcb4097134ff3c332f xmlns="22dbaa52-5d5a-4806-ae0d-f920dab8f355">
      <Terms xmlns="http://schemas.microsoft.com/office/infopath/2007/PartnerControls"/>
    </lcf76f155ced4ddcb4097134ff3c332f>
  </documentManagement>
</p:properties>
</file>

<file path=customXml/item2.xml><?xml version="1.0" encoding="utf-8"?>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as" ma:contentTypeID="0x010100691E9D35A53E9A4EBD386BD6CA5FE45A" ma:contentTypeVersion="21" ma:contentTypeDescription="Kurkite naują dokumentą." ma:contentTypeScope="" ma:versionID="23620de79f9f8a90b79a8e79e72deae7">
  <xsd:schema xmlns:xsd="http://www.w3.org/2001/XMLSchema" xmlns:xs="http://www.w3.org/2001/XMLSchema" xmlns:p="http://schemas.microsoft.com/office/2006/metadata/properties" xmlns:ns2="22dbaa52-5d5a-4806-ae0d-f920dab8f355" xmlns:ns3="f1621be2-09a8-4ecf-a4f6-2b817f971f19" targetNamespace="http://schemas.microsoft.com/office/2006/metadata/properties" ma:root="true" ma:fieldsID="bf50f9ed8e56cd0d5d39bf86259c8073" ns2:_="" ns3:_="">
    <xsd:import namespace="22dbaa52-5d5a-4806-ae0d-f920dab8f355"/>
    <xsd:import namespace="f1621be2-09a8-4ecf-a4f6-2b817f971f1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Location"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dbaa52-5d5a-4806-ae0d-f920dab8f3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Vaizdų žymės" ma:readOnly="false" ma:fieldId="{5cf76f15-5ced-4ddc-b409-7134ff3c332f}" ma:taxonomyMulti="true" ma:sspId="c0864939-75c6-4484-8098-18c4e1df423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1621be2-09a8-4ecf-a4f6-2b817f971f19" elementFormDefault="qualified">
    <xsd:import namespace="http://schemas.microsoft.com/office/2006/documentManagement/types"/>
    <xsd:import namespace="http://schemas.microsoft.com/office/infopath/2007/PartnerControls"/>
    <xsd:element name="SharedWithUsers" ma:index="18"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Bendrinta su išsamia informacija" ma:internalName="SharedWithDetails" ma:readOnly="true">
      <xsd:simpleType>
        <xsd:restriction base="dms:Note">
          <xsd:maxLength value="255"/>
        </xsd:restriction>
      </xsd:simpleType>
    </xsd:element>
    <xsd:element name="TaxCatchAll" ma:index="21" nillable="true" ma:displayName="Taxonomy Catch All Column" ma:hidden="true" ma:list="{f9b642a4-d2eb-433c-9774-f14ef5d9a268}" ma:internalName="TaxCatchAll" ma:showField="CatchAllData" ma:web="f1621be2-09a8-4ecf-a4f6-2b817f971f1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ns30:Sources xmlns:ns30="http://schemas.openxmlformats.org/officeDocument/2006/bibliography" xmlns:r="http://schemas.openxmlformats.org/officeDocument/2006/relationships" xmlns:w="http://schemas.openxmlformats.org/wordprocessingml/2006/main" xmlns:w15="http://schemas.microsoft.com/office/word/2012/wordml"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A95A3615-45A6-40A3-8052-F168E387B918}">
  <ds:schemaRefs>
    <ds:schemaRef ds:uri="http://schemas.microsoft.com/office/2006/metadata/properties"/>
    <ds:schemaRef ds:uri="http://schemas.microsoft.com/office/infopath/2007/PartnerControls"/>
    <ds:schemaRef ds:uri="f1621be2-09a8-4ecf-a4f6-2b817f971f19"/>
    <ds:schemaRef ds:uri="22dbaa52-5d5a-4806-ae0d-f920dab8f355"/>
  </ds:schemaRefs>
</ds:datastoreItem>
</file>

<file path=customXml/itemProps2.xml><?xml version="1.0" encoding="utf-8"?>
<ds:datastoreItem xmlns:ds="http://schemas.openxmlformats.org/officeDocument/2006/customXml" ds:itemID="{5C4BBE9C-E82C-4405-9421-F3D80A879DA4}">
  <ds:schemaRefs>
    <ds:schemaRef ds:uri="http://schemas.microsoft.com/sharepoint/v3/contenttype/forms"/>
  </ds:schemaRefs>
</ds:datastoreItem>
</file>

<file path=customXml/itemProps3.xml><?xml version="1.0" encoding="utf-8"?>
<ds:datastoreItem xmlns:ds="http://schemas.openxmlformats.org/officeDocument/2006/customXml" ds:itemID="{C4DED91F-C2E5-48AA-89BA-4D51487343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dbaa52-5d5a-4806-ae0d-f920dab8f355"/>
    <ds:schemaRef ds:uri="f1621be2-09a8-4ecf-a4f6-2b817f971f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4341C74-5200-4D65-AE7F-74FA50FD0847}">
  <ds:schemaRefs>
    <ds:schemaRef ds:uri="http://schemas.openxmlformats.org/officeDocument/2006/bibliography"/>
    <ds:schemaRef ds:uri="http://schemas.openxmlformats.org/officeDocument/2006/relationships"/>
    <ds:schemaRef ds:uri="http://schemas.openxmlformats.org/wordprocessingml/2006/main"/>
    <ds:schemaRef ds:uri="http://schemas.microsoft.com/office/word/2012/wordml"/>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1927</Words>
  <Characters>13473</Characters>
  <Application>Microsoft Office Word</Application>
  <DocSecurity>4</DocSecurity>
  <Lines>259</Lines>
  <Paragraphs>121</Paragraphs>
  <ScaleCrop>false</ScaleCrop>
  <Company/>
  <LinksUpToDate>false</LinksUpToDate>
  <CharactersWithSpaces>15279</CharactersWithSpaces>
  <SharedDoc>false</SharedDoc>
  <HyperlinkBase/>
  <HyperlinksChanged>false</HyperlinksChanged>
  <AppVersion>16.0000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2026-10-06T13:05:00Z</dcterms:created>
  <dc:creator>Vaida Andriukaitytė</dc:creator>
  <lastModifiedBy>adlibuser</lastModifiedBy>
  <lastPrinted>2018-11-20T17:18:00Z</lastPrinted>
  <dcterms:modified xsi:type="dcterms:W3CDTF">2026-10-06T13:05:00Z</dcterms:modified>
  <revision>2</revision>
  <dc:title>Forma patvirtinta</dc:title>
</coreProperties>
</file>

<file path=docProps/custom.xml><?xml version="1.0" encoding="utf-8"?>
<Properties xmlns="http://schemas.openxmlformats.org/officeDocument/2006/custom-properties" xmlns:vt="http://schemas.openxmlformats.org/officeDocument/2006/docPropsVTypes">
  <property fmtid="{D5CDD505-2E9C-101B-9397-08002B2CF9AE}" pid="2" name="DISC_AdditionalMakersMail">
    <vt:lpwstr> </vt:lpwstr>
  </property>
  <property fmtid="{D5CDD505-2E9C-101B-9397-08002B2CF9AE}" pid="3" name="DISC_Consignor">
    <vt:lpwstr> </vt:lpwstr>
  </property>
  <property fmtid="{D5CDD505-2E9C-101B-9397-08002B2CF9AE}" pid="4" name="DIScgiUrl">
    <vt:lpwstr>http://edvs.epaslaugos.lt/cs/idcplg</vt:lpwstr>
  </property>
  <property fmtid="{D5CDD505-2E9C-101B-9397-08002B2CF9AE}" pid="5" name="DISC_MainMakerMail">
    <vt:lpwstr> </vt:lpwstr>
  </property>
  <property fmtid="{D5CDD505-2E9C-101B-9397-08002B2CF9AE}" pid="6" name="DISdDocName">
    <vt:lpwstr>11040830</vt:lpwstr>
  </property>
  <property fmtid="{D5CDD505-2E9C-101B-9397-08002B2CF9AE}" pid="7" name="DISTaskPaneUrl">
    <vt:lpwstr>http://edvs.epaslaugos.lt/cs/idcplg?ClientControlled=DocMan&amp;coreContentOnly=1&amp;WebdavRequest=1&amp;IdcService=DOC_INFO&amp;dID=1190335</vt:lpwstr>
  </property>
  <property fmtid="{D5CDD505-2E9C-101B-9397-08002B2CF9AE}" pid="8" name="DISC_AdditionalMakers">
    <vt:lpwstr> </vt:lpwstr>
  </property>
  <property fmtid="{D5CDD505-2E9C-101B-9397-08002B2CF9AE}" pid="9" name="DISC_OrgAuthor">
    <vt:lpwstr>Lietuvos kino centras prie Kultūros ministerijos</vt:lpwstr>
  </property>
  <property fmtid="{D5CDD505-2E9C-101B-9397-08002B2CF9AE}" pid="10" name="DISC_AdditionalTutors">
    <vt:lpwstr> </vt:lpwstr>
  </property>
  <property fmtid="{D5CDD505-2E9C-101B-9397-08002B2CF9AE}" pid="11" name="DISC_SignersGroup">
    <vt:lpwstr> </vt:lpwstr>
  </property>
  <property fmtid="{D5CDD505-2E9C-101B-9397-08002B2CF9AE}" pid="12" name="DISC_OrgApprovers">
    <vt:lpwstr> </vt:lpwstr>
  </property>
  <property fmtid="{D5CDD505-2E9C-101B-9397-08002B2CF9AE}" pid="13" name="DISC_Signer">
    <vt:lpwstr> </vt:lpwstr>
  </property>
  <property fmtid="{D5CDD505-2E9C-101B-9397-08002B2CF9AE}" pid="14" name="DISC_MainMakerPhone">
    <vt:lpwstr> </vt:lpwstr>
  </property>
  <property fmtid="{D5CDD505-2E9C-101B-9397-08002B2CF9AE}" pid="15" name="DISC_AdditionalApproversMail">
    <vt:lpwstr> </vt:lpwstr>
  </property>
  <property fmtid="{D5CDD505-2E9C-101B-9397-08002B2CF9AE}" pid="16" name="DISidcName">
    <vt:lpwstr>edvsast1viisplocal16200</vt:lpwstr>
  </property>
  <property fmtid="{D5CDD505-2E9C-101B-9397-08002B2CF9AE}" pid="17" name="DISProperties">
    <vt:lpwstr>DISC_AdditionalMakersMail,DISC_Consignor,DIScgiUrl,DISC_MainMakerMail,DISdDocName,DISTaskPaneUrl,DISC_AdditionalMakers,DISC_OrgAuthor,DISC_AdditionalTutors,DISC_SignersGroup,DISC_OrgApprovers,DISC_Signer,DISC_MainMakerPhone,DISC_AdditionalApproversMail,DI</vt:lpwstr>
  </property>
  <property fmtid="{D5CDD505-2E9C-101B-9397-08002B2CF9AE}" pid="18" name="DISC_AdditionalMakersPhone">
    <vt:lpwstr> </vt:lpwstr>
  </property>
  <property fmtid="{D5CDD505-2E9C-101B-9397-08002B2CF9AE}" pid="19" name="DISdUser">
    <vt:lpwstr>indre1</vt:lpwstr>
  </property>
  <property fmtid="{D5CDD505-2E9C-101B-9397-08002B2CF9AE}" pid="20" name="DISC_AdditionalApprovers">
    <vt:lpwstr> </vt:lpwstr>
  </property>
  <property fmtid="{D5CDD505-2E9C-101B-9397-08002B2CF9AE}" pid="21" name="DISdID">
    <vt:lpwstr>1190335</vt:lpwstr>
  </property>
  <property fmtid="{D5CDD505-2E9C-101B-9397-08002B2CF9AE}" pid="22" name="DISC_MainMaker">
    <vt:lpwstr> </vt:lpwstr>
  </property>
  <property fmtid="{D5CDD505-2E9C-101B-9397-08002B2CF9AE}" pid="23" name="DISC_TutorPhone">
    <vt:lpwstr> </vt:lpwstr>
  </property>
  <property fmtid="{D5CDD505-2E9C-101B-9397-08002B2CF9AE}" pid="24" name="DISC_AdditionalApproversPhone">
    <vt:lpwstr> </vt:lpwstr>
  </property>
  <property fmtid="{D5CDD505-2E9C-101B-9397-08002B2CF9AE}" pid="25" name="DISC_AdditionalTutorsMail">
    <vt:lpwstr> </vt:lpwstr>
  </property>
  <property fmtid="{D5CDD505-2E9C-101B-9397-08002B2CF9AE}" pid="26" name="DISC_AdditionalTutorsPhone">
    <vt:lpwstr> </vt:lpwstr>
  </property>
  <property fmtid="{D5CDD505-2E9C-101B-9397-08002B2CF9AE}" pid="27" name="DISC_Tutor">
    <vt:lpwstr> </vt:lpwstr>
  </property>
  <property fmtid="{D5CDD505-2E9C-101B-9397-08002B2CF9AE}" pid="28" name="DISC_TutorMail">
    <vt:lpwstr> </vt:lpwstr>
  </property>
  <property fmtid="{D5CDD505-2E9C-101B-9397-08002B2CF9AE}" pid="29" name="DISC_Consignee">
    <vt:lpwstr> </vt:lpwstr>
  </property>
  <property fmtid="{D5CDD505-2E9C-101B-9397-08002B2CF9AE}" pid="30" name="ContentTypeId">
    <vt:lpwstr>0x010100691E9D35A53E9A4EBD386BD6CA5FE45A</vt:lpwstr>
  </property>
  <property fmtid="{D5CDD505-2E9C-101B-9397-08002B2CF9AE}" pid="31" name="MediaServiceImageTags">
    <vt:lpwstr/>
  </property>
</Properties>
</file>